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BB" w:rsidRPr="00875847" w:rsidRDefault="00F13FBB" w:rsidP="00875847">
      <w:pPr>
        <w:pStyle w:val="Title"/>
        <w:rPr>
          <w:sz w:val="44"/>
          <w:szCs w:val="44"/>
        </w:rPr>
      </w:pPr>
      <w:r w:rsidRPr="00875847">
        <w:rPr>
          <w:sz w:val="44"/>
          <w:szCs w:val="44"/>
        </w:rPr>
        <w:t>Lesson 12-2 Comparing Two Proportions</w:t>
      </w:r>
    </w:p>
    <w:p w:rsidR="00F13FBB" w:rsidRPr="00875847" w:rsidRDefault="00F13FBB" w:rsidP="00875847">
      <w:pPr>
        <w:rPr>
          <w:rFonts w:ascii="Cambria" w:hAnsi="Cambria"/>
          <w:b/>
          <w:bCs/>
          <w:color w:val="365F91"/>
          <w:sz w:val="28"/>
          <w:szCs w:val="28"/>
        </w:rPr>
      </w:pPr>
      <w:r w:rsidRPr="00875847">
        <w:rPr>
          <w:rFonts w:ascii="Cambria" w:hAnsi="Cambria"/>
          <w:b/>
          <w:bCs/>
          <w:color w:val="365F91"/>
          <w:sz w:val="28"/>
          <w:szCs w:val="28"/>
        </w:rPr>
        <w:t>Confidence intervals for comparing two proportions</w:t>
      </w:r>
    </w:p>
    <w:p w:rsidR="00F13FBB" w:rsidRPr="00875847" w:rsidRDefault="00F13FBB" w:rsidP="00875847">
      <w:pPr>
        <w:rPr>
          <w:rFonts w:cs="Tahom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75pt;margin-top:52.85pt;width:85pt;height:18pt;z-index:-251658240" wrapcoords="765 2700 382 7200 382 13500 765 18000 11278 18000 21027 15300 21027 4500 11278 2700 765 2700">
            <v:imagedata r:id="rId5" o:title=""/>
            <w10:wrap type="tight"/>
          </v:shape>
          <o:OLEObject Type="Embed" ProgID="Equation.3" ShapeID="_x0000_s1026" DrawAspect="Content" ObjectID="_1300794458" r:id="rId6"/>
        </w:pict>
      </w:r>
      <w:r w:rsidRPr="00875847">
        <w:rPr>
          <w:rFonts w:cs="Tahoma"/>
        </w:rPr>
        <w:t>Draw an SRS of size n</w:t>
      </w:r>
      <w:r w:rsidRPr="00875847">
        <w:rPr>
          <w:rFonts w:cs="Tahoma"/>
          <w:vertAlign w:val="subscript"/>
        </w:rPr>
        <w:t>1</w:t>
      </w:r>
      <w:r w:rsidRPr="00875847">
        <w:rPr>
          <w:rFonts w:cs="Tahoma"/>
        </w:rPr>
        <w:t xml:space="preserve"> from a population having a proportion of p</w:t>
      </w:r>
      <w:r w:rsidRPr="00875847">
        <w:rPr>
          <w:rFonts w:cs="Tahoma"/>
          <w:vertAlign w:val="subscript"/>
        </w:rPr>
        <w:t>1</w:t>
      </w:r>
      <w:r w:rsidRPr="00875847">
        <w:rPr>
          <w:rFonts w:cs="Tahoma"/>
        </w:rPr>
        <w:t xml:space="preserve"> successes and draw an independent SRS of size n</w:t>
      </w:r>
      <w:r w:rsidRPr="00875847">
        <w:rPr>
          <w:rFonts w:cs="Tahoma"/>
          <w:vertAlign w:val="subscript"/>
        </w:rPr>
        <w:t>2</w:t>
      </w:r>
      <w:r w:rsidRPr="00875847">
        <w:rPr>
          <w:rFonts w:cs="Tahoma"/>
        </w:rPr>
        <w:t xml:space="preserve"> from another population having proportion p</w:t>
      </w:r>
      <w:r w:rsidRPr="00875847">
        <w:rPr>
          <w:rFonts w:cs="Tahoma"/>
          <w:vertAlign w:val="subscript"/>
        </w:rPr>
        <w:t>2</w:t>
      </w:r>
      <w:r w:rsidRPr="00875847">
        <w:rPr>
          <w:rFonts w:cs="Tahoma"/>
        </w:rPr>
        <w:t xml:space="preserve"> of successes.  When n</w:t>
      </w:r>
      <w:r w:rsidRPr="00875847">
        <w:rPr>
          <w:rFonts w:cs="Tahoma"/>
          <w:vertAlign w:val="subscript"/>
        </w:rPr>
        <w:t>1</w:t>
      </w:r>
      <w:r w:rsidRPr="00875847">
        <w:rPr>
          <w:rFonts w:cs="Tahoma"/>
        </w:rPr>
        <w:t xml:space="preserve"> and n</w:t>
      </w:r>
      <w:r w:rsidRPr="00875847">
        <w:rPr>
          <w:rFonts w:cs="Tahoma"/>
          <w:vertAlign w:val="subscript"/>
        </w:rPr>
        <w:t>2</w:t>
      </w:r>
      <w:r w:rsidRPr="00875847">
        <w:rPr>
          <w:rFonts w:cs="Tahoma"/>
        </w:rPr>
        <w:t xml:space="preserve"> are large, an approximate level C </w:t>
      </w:r>
      <w:r w:rsidRPr="00875847">
        <w:rPr>
          <w:rFonts w:cs="Tahoma"/>
          <w:b/>
        </w:rPr>
        <w:t>confidence interval for p</w:t>
      </w:r>
      <w:r w:rsidRPr="00875847">
        <w:rPr>
          <w:rFonts w:cs="Tahoma"/>
          <w:b/>
          <w:vertAlign w:val="subscript"/>
        </w:rPr>
        <w:t>1</w:t>
      </w:r>
      <w:r w:rsidRPr="00875847">
        <w:rPr>
          <w:rFonts w:cs="Tahoma"/>
          <w:b/>
        </w:rPr>
        <w:t xml:space="preserve"> – p</w:t>
      </w:r>
      <w:r w:rsidRPr="00875847">
        <w:rPr>
          <w:rFonts w:cs="Tahoma"/>
          <w:b/>
          <w:vertAlign w:val="subscript"/>
        </w:rPr>
        <w:t>2</w:t>
      </w:r>
      <w:r w:rsidRPr="00875847">
        <w:rPr>
          <w:rFonts w:cs="Tahoma"/>
          <w:b/>
        </w:rPr>
        <w:t xml:space="preserve"> is</w:t>
      </w:r>
      <w:r w:rsidRPr="00875847">
        <w:rPr>
          <w:rFonts w:cs="Tahoma"/>
        </w:rPr>
        <w:t xml:space="preserve"> </w:t>
      </w:r>
    </w:p>
    <w:p w:rsidR="00F13FBB" w:rsidRDefault="00F13FBB" w:rsidP="00875847">
      <w:pPr>
        <w:rPr>
          <w:rFonts w:ascii="Tahoma" w:hAnsi="Tahoma" w:cs="Tahoma"/>
        </w:rPr>
      </w:pPr>
    </w:p>
    <w:p w:rsidR="00F13FBB" w:rsidRDefault="00F13FBB" w:rsidP="00875847">
      <w:pPr>
        <w:rPr>
          <w:rFonts w:ascii="Tahoma" w:hAnsi="Tahoma" w:cs="Tahoma"/>
        </w:rPr>
      </w:pPr>
    </w:p>
    <w:p w:rsidR="00F13FBB" w:rsidRDefault="00F13FBB" w:rsidP="00875847">
      <w:pPr>
        <w:rPr>
          <w:rFonts w:ascii="Tahoma" w:hAnsi="Tahoma" w:cs="Tahoma"/>
        </w:rPr>
      </w:pPr>
      <w:r>
        <w:rPr>
          <w:noProof/>
        </w:rPr>
        <w:pict>
          <v:shape id="_x0000_s1027" type="#_x0000_t75" style="position:absolute;margin-left:247.5pt;margin-top:21.95pt;width:152pt;height:39pt;z-index:-251657216" wrapcoords="5001 1662 319 8308 213 12462 1702 14954 4256 14954 4575 19938 5001 19938 17982 19523 18514 18692 17557 14954 19153 14954 21174 11215 21281 1662 5001 1662">
            <v:imagedata r:id="rId7" o:title=""/>
            <w10:wrap type="tight"/>
          </v:shape>
          <o:OLEObject Type="Embed" ProgID="Equation.3" ShapeID="_x0000_s1027" DrawAspect="Content" ObjectID="_1300794459" r:id="rId8"/>
        </w:pict>
      </w:r>
    </w:p>
    <w:p w:rsidR="00F13FBB" w:rsidRPr="00875847" w:rsidRDefault="00F13FBB" w:rsidP="00875847">
      <w:pPr>
        <w:rPr>
          <w:rFonts w:cs="Tahoma"/>
        </w:rPr>
      </w:pPr>
      <w:r w:rsidRPr="00875847">
        <w:rPr>
          <w:rFonts w:cs="Tahoma"/>
        </w:rPr>
        <w:t>In this formula the standard error (SE) of p</w:t>
      </w:r>
      <w:r w:rsidRPr="00875847">
        <w:rPr>
          <w:rFonts w:cs="Tahoma"/>
          <w:vertAlign w:val="subscript"/>
        </w:rPr>
        <w:t>1</w:t>
      </w:r>
      <w:r w:rsidRPr="00875847">
        <w:rPr>
          <w:rFonts w:cs="Tahoma"/>
        </w:rPr>
        <w:t xml:space="preserve"> – p</w:t>
      </w:r>
      <w:r w:rsidRPr="00875847">
        <w:rPr>
          <w:rFonts w:cs="Tahoma"/>
          <w:vertAlign w:val="subscript"/>
        </w:rPr>
        <w:t>2</w:t>
      </w:r>
      <w:r w:rsidRPr="00875847">
        <w:rPr>
          <w:rFonts w:cs="Tahoma"/>
        </w:rPr>
        <w:t xml:space="preserve"> is</w:t>
      </w:r>
    </w:p>
    <w:p w:rsidR="00F13FBB" w:rsidRDefault="00F13FBB" w:rsidP="00875847">
      <w:pPr>
        <w:rPr>
          <w:rFonts w:ascii="Tahoma" w:hAnsi="Tahoma" w:cs="Tahoma"/>
        </w:rPr>
      </w:pPr>
    </w:p>
    <w:p w:rsidR="00F13FBB" w:rsidRDefault="00F13FBB" w:rsidP="00875847">
      <w:pPr>
        <w:rPr>
          <w:rFonts w:ascii="Tahoma" w:hAnsi="Tahoma" w:cs="Tahoma"/>
        </w:rPr>
      </w:pPr>
    </w:p>
    <w:p w:rsidR="00F13FBB" w:rsidRDefault="00F13FBB" w:rsidP="00875847">
      <w:pPr>
        <w:rPr>
          <w:rFonts w:ascii="Tahoma" w:hAnsi="Tahoma" w:cs="Tahoma"/>
        </w:rPr>
      </w:pPr>
      <w:r w:rsidRPr="0045630B">
        <w:rPr>
          <w:rFonts w:cs="Tahoma"/>
        </w:rPr>
        <w:t>In practice, use this confidence interval when the populations are at least 10 times as large as the samples and</w:t>
      </w:r>
      <w:r>
        <w:rPr>
          <w:rFonts w:ascii="Tahoma" w:hAnsi="Tahoma" w:cs="Tahoma"/>
        </w:rPr>
        <w:t xml:space="preserve"> n</w:t>
      </w:r>
      <w:r>
        <w:rPr>
          <w:rFonts w:ascii="Tahoma" w:hAnsi="Tahoma" w:cs="Tahoma"/>
          <w:vertAlign w:val="subscript"/>
        </w:rPr>
        <w:t>1</w:t>
      </w:r>
      <w:r>
        <w:rPr>
          <w:rFonts w:ascii="Ti83Pluspc" w:hAnsi="Ti83Pluspc" w:cs="Tahoma"/>
        </w:rPr>
        <w:t>ê</w:t>
      </w:r>
      <w:r>
        <w:rPr>
          <w:rFonts w:ascii="Tahoma" w:hAnsi="Tahoma" w:cs="Tahoma"/>
          <w:vertAlign w:val="subscript"/>
        </w:rPr>
        <w:t>1</w:t>
      </w:r>
      <w:r>
        <w:rPr>
          <w:rFonts w:ascii="Tahoma" w:hAnsi="Tahoma" w:cs="Tahoma"/>
        </w:rPr>
        <w:t>, n</w:t>
      </w:r>
      <w:r>
        <w:rPr>
          <w:rFonts w:ascii="Tahoma" w:hAnsi="Tahoma" w:cs="Tahoma"/>
          <w:vertAlign w:val="subscript"/>
        </w:rPr>
        <w:t>1</w:t>
      </w:r>
      <w:r>
        <w:rPr>
          <w:rFonts w:ascii="Tahoma" w:hAnsi="Tahoma" w:cs="Tahoma"/>
        </w:rPr>
        <w:t xml:space="preserve">(1 – </w:t>
      </w:r>
      <w:r>
        <w:rPr>
          <w:rFonts w:ascii="Ti83Pluspc" w:hAnsi="Ti83Pluspc" w:cs="Tahoma"/>
        </w:rPr>
        <w:t>ê</w:t>
      </w:r>
      <w:r>
        <w:rPr>
          <w:rFonts w:ascii="Ti83Pluspc" w:hAnsi="Ti83Pluspc" w:cs="Tahoma"/>
          <w:vertAlign w:val="subscript"/>
        </w:rPr>
        <w:t>1</w:t>
      </w:r>
      <w:r>
        <w:rPr>
          <w:rFonts w:ascii="Tahoma" w:hAnsi="Tahoma" w:cs="Tahoma"/>
        </w:rPr>
        <w:t>), n</w:t>
      </w:r>
      <w:r>
        <w:rPr>
          <w:rFonts w:ascii="Tahoma" w:hAnsi="Tahoma" w:cs="Tahoma"/>
          <w:vertAlign w:val="subscript"/>
        </w:rPr>
        <w:t>2</w:t>
      </w:r>
      <w:r>
        <w:rPr>
          <w:rFonts w:ascii="Ti83Pluspc" w:hAnsi="Ti83Pluspc" w:cs="Tahoma"/>
        </w:rPr>
        <w:t>ê</w:t>
      </w:r>
      <w:r>
        <w:rPr>
          <w:rFonts w:ascii="Tahoma" w:hAnsi="Tahoma" w:cs="Tahoma"/>
          <w:vertAlign w:val="subscript"/>
        </w:rPr>
        <w:t>2</w:t>
      </w:r>
      <w:r>
        <w:rPr>
          <w:rFonts w:ascii="Tahoma" w:hAnsi="Tahoma" w:cs="Tahoma"/>
        </w:rPr>
        <w:t xml:space="preserve">, </w:t>
      </w:r>
      <w:r w:rsidRPr="0045630B">
        <w:rPr>
          <w:rFonts w:cs="Tahoma"/>
        </w:rPr>
        <w:t>and</w:t>
      </w:r>
      <w:r>
        <w:rPr>
          <w:rFonts w:ascii="Tahoma" w:hAnsi="Tahoma" w:cs="Tahoma"/>
        </w:rPr>
        <w:t xml:space="preserve"> n</w:t>
      </w:r>
      <w:r>
        <w:rPr>
          <w:rFonts w:ascii="Tahoma" w:hAnsi="Tahoma" w:cs="Tahoma"/>
          <w:vertAlign w:val="subscript"/>
        </w:rPr>
        <w:t>2</w:t>
      </w:r>
      <w:r>
        <w:rPr>
          <w:rFonts w:ascii="Tahoma" w:hAnsi="Tahoma" w:cs="Tahoma"/>
        </w:rPr>
        <w:t xml:space="preserve">(1 – </w:t>
      </w:r>
      <w:r>
        <w:rPr>
          <w:rFonts w:ascii="Ti83Pluspc" w:hAnsi="Ti83Pluspc" w:cs="Tahoma"/>
        </w:rPr>
        <w:t>ê</w:t>
      </w:r>
      <w:r>
        <w:rPr>
          <w:rFonts w:ascii="Tahoma" w:hAnsi="Tahoma" w:cs="Tahoma"/>
          <w:vertAlign w:val="subscript"/>
        </w:rPr>
        <w:t>2</w:t>
      </w:r>
      <w:r>
        <w:rPr>
          <w:rFonts w:ascii="Tahoma" w:hAnsi="Tahoma" w:cs="Tahoma"/>
        </w:rPr>
        <w:t xml:space="preserve">) </w:t>
      </w:r>
      <w:r w:rsidRPr="0045630B">
        <w:rPr>
          <w:rFonts w:cs="Tahoma"/>
        </w:rPr>
        <w:t xml:space="preserve">are </w:t>
      </w:r>
      <w:r w:rsidRPr="0045630B">
        <w:rPr>
          <w:rFonts w:cs="Tahoma"/>
          <w:b/>
        </w:rPr>
        <w:t>all 5 or more</w:t>
      </w:r>
      <w:r>
        <w:rPr>
          <w:rFonts w:ascii="Tahoma" w:hAnsi="Tahoma" w:cs="Tahoma"/>
        </w:rPr>
        <w:t>.</w:t>
      </w:r>
    </w:p>
    <w:p w:rsidR="00F13FBB" w:rsidRDefault="00F13FBB" w:rsidP="00875847">
      <w:pPr>
        <w:rPr>
          <w:rFonts w:ascii="Tahoma" w:hAnsi="Tahoma" w:cs="Tahoma"/>
        </w:rPr>
      </w:pPr>
    </w:p>
    <w:p w:rsidR="00F13FBB" w:rsidRPr="00875847" w:rsidRDefault="00F13FBB" w:rsidP="00875847">
      <w:pPr>
        <w:rPr>
          <w:rFonts w:ascii="Cambria" w:hAnsi="Cambria"/>
          <w:b/>
          <w:bCs/>
          <w:color w:val="365F91"/>
          <w:sz w:val="28"/>
          <w:szCs w:val="28"/>
        </w:rPr>
      </w:pPr>
      <w:r w:rsidRPr="00875847">
        <w:rPr>
          <w:rFonts w:ascii="Cambria" w:hAnsi="Cambria"/>
          <w:b/>
          <w:bCs/>
          <w:color w:val="365F91"/>
          <w:sz w:val="28"/>
          <w:szCs w:val="28"/>
        </w:rPr>
        <w:t>Significance tests for p</w:t>
      </w:r>
      <w:r w:rsidRPr="00875847">
        <w:rPr>
          <w:rFonts w:ascii="Cambria" w:hAnsi="Cambria"/>
          <w:b/>
          <w:bCs/>
          <w:color w:val="365F91"/>
          <w:sz w:val="28"/>
          <w:szCs w:val="28"/>
          <w:vertAlign w:val="subscript"/>
        </w:rPr>
        <w:t>1</w:t>
      </w:r>
      <w:r w:rsidRPr="00875847">
        <w:rPr>
          <w:rFonts w:ascii="Cambria" w:hAnsi="Cambria"/>
          <w:b/>
          <w:bCs/>
          <w:color w:val="365F91"/>
          <w:sz w:val="28"/>
          <w:szCs w:val="28"/>
        </w:rPr>
        <w:t xml:space="preserve"> – p</w:t>
      </w:r>
      <w:r w:rsidRPr="00875847">
        <w:rPr>
          <w:rFonts w:ascii="Cambria" w:hAnsi="Cambria"/>
          <w:b/>
          <w:bCs/>
          <w:color w:val="365F91"/>
          <w:sz w:val="28"/>
          <w:szCs w:val="28"/>
          <w:vertAlign w:val="subscript"/>
        </w:rPr>
        <w:t>2</w:t>
      </w:r>
    </w:p>
    <w:p w:rsidR="00F13FBB" w:rsidRPr="00875847" w:rsidRDefault="00F13FBB" w:rsidP="00875847">
      <w:pPr>
        <w:rPr>
          <w:rFonts w:cs="Tahoma"/>
          <w:i/>
        </w:rPr>
      </w:pPr>
      <w:r w:rsidRPr="00875847">
        <w:rPr>
          <w:rFonts w:cs="Tahoma"/>
        </w:rPr>
        <w:t>An observed difference between two sample proportions can reflect a difference in the population, or it may just be due to chance variation in random sampling.  The null hypothesis says that there is no difference between the two populations.  H</w:t>
      </w:r>
      <w:r w:rsidRPr="00875847">
        <w:rPr>
          <w:rFonts w:cs="Tahoma"/>
          <w:vertAlign w:val="subscript"/>
        </w:rPr>
        <w:t>0</w:t>
      </w:r>
      <w:r w:rsidRPr="00875847">
        <w:rPr>
          <w:rFonts w:cs="Tahoma"/>
        </w:rPr>
        <w:t xml:space="preserve">: </w:t>
      </w:r>
      <w:r w:rsidRPr="00875847">
        <w:rPr>
          <w:rFonts w:cs="Tahoma"/>
          <w:i/>
        </w:rPr>
        <w:t>p</w:t>
      </w:r>
      <w:r w:rsidRPr="00875847">
        <w:rPr>
          <w:rFonts w:cs="Tahoma"/>
          <w:i/>
          <w:vertAlign w:val="subscript"/>
        </w:rPr>
        <w:t>1</w:t>
      </w:r>
      <w:r w:rsidRPr="00875847">
        <w:rPr>
          <w:rFonts w:cs="Tahoma"/>
        </w:rPr>
        <w:t xml:space="preserve"> – </w:t>
      </w:r>
      <w:r w:rsidRPr="00875847">
        <w:rPr>
          <w:rFonts w:cs="Tahoma"/>
          <w:i/>
        </w:rPr>
        <w:t>p</w:t>
      </w:r>
      <w:r w:rsidRPr="00875847">
        <w:rPr>
          <w:rFonts w:cs="Tahoma"/>
          <w:i/>
          <w:vertAlign w:val="subscript"/>
        </w:rPr>
        <w:t>2</w:t>
      </w:r>
    </w:p>
    <w:p w:rsidR="00F13FBB" w:rsidRDefault="00F13FBB" w:rsidP="00875847">
      <w:pPr>
        <w:rPr>
          <w:rFonts w:ascii="Tahoma" w:hAnsi="Tahoma" w:cs="Tahoma"/>
          <w:i/>
        </w:rPr>
      </w:pPr>
    </w:p>
    <w:p w:rsidR="00F13FBB" w:rsidRDefault="00F13FBB" w:rsidP="00875847">
      <w:pPr>
        <w:rPr>
          <w:rFonts w:ascii="Tahoma" w:hAnsi="Tahoma" w:cs="Tahoma"/>
        </w:rPr>
      </w:pPr>
      <w:r>
        <w:rPr>
          <w:noProof/>
        </w:rPr>
        <w:pict>
          <v:shape id="_x0000_s1028" type="#_x0000_t75" style="position:absolute;margin-left:147pt;margin-top:30pt;width:124pt;height:58pt;z-index:-251656192" wrapcoords="9818 842 262 5049 262 7574 2618 9818 4975 9818 4844 14306 4058 15709 4582 20478 5105 20478 20945 20197 20815 9818 21469 6452 20945 6171 15840 5330 14531 842 9818 842">
            <v:imagedata r:id="rId9" o:title=""/>
            <w10:wrap type="tight"/>
          </v:shape>
          <o:OLEObject Type="Embed" ProgID="Equation.3" ShapeID="_x0000_s1028" DrawAspect="Content" ObjectID="_1300794460" r:id="rId10"/>
        </w:pict>
      </w:r>
      <w:r w:rsidRPr="0045630B">
        <w:rPr>
          <w:rFonts w:cs="Tahoma"/>
        </w:rPr>
        <w:t>To test the hypothesis, first find the pooled proportion</w:t>
      </w:r>
      <w:r>
        <w:rPr>
          <w:rFonts w:ascii="Tahoma" w:hAnsi="Tahoma" w:cs="Tahoma"/>
        </w:rPr>
        <w:t xml:space="preserve"> </w:t>
      </w:r>
      <w:r>
        <w:rPr>
          <w:rFonts w:ascii="Ti83Pluspc" w:hAnsi="Ti83Pluspc" w:cs="Tahoma"/>
        </w:rPr>
        <w:t xml:space="preserve">ê </w:t>
      </w:r>
      <w:r w:rsidRPr="0045630B">
        <w:rPr>
          <w:rFonts w:cs="Tahoma"/>
        </w:rPr>
        <w:t>of successes in both samples combined.  Then compute the z statistic.</w:t>
      </w:r>
      <w:r>
        <w:rPr>
          <w:rFonts w:ascii="Tahoma" w:hAnsi="Tahoma" w:cs="Tahoma"/>
        </w:rPr>
        <w:t xml:space="preserve">  </w:t>
      </w:r>
    </w:p>
    <w:p w:rsidR="00F13FBB" w:rsidRDefault="00F13FBB" w:rsidP="00875847">
      <w:pPr>
        <w:rPr>
          <w:rFonts w:ascii="Tahoma" w:hAnsi="Tahoma" w:cs="Tahoma"/>
        </w:rPr>
      </w:pPr>
    </w:p>
    <w:p w:rsidR="00F13FBB" w:rsidRDefault="00F13FBB" w:rsidP="00875847">
      <w:pPr>
        <w:rPr>
          <w:rFonts w:ascii="Tahoma" w:hAnsi="Tahoma" w:cs="Tahoma"/>
        </w:rPr>
      </w:pPr>
    </w:p>
    <w:p w:rsidR="00F13FBB" w:rsidRDefault="00F13FBB" w:rsidP="00875847">
      <w:pPr>
        <w:rPr>
          <w:rFonts w:ascii="Tahoma" w:hAnsi="Tahoma" w:cs="Tahoma"/>
        </w:rPr>
      </w:pPr>
    </w:p>
    <w:p w:rsidR="00F13FBB" w:rsidRDefault="00F13FBB" w:rsidP="00875847">
      <w:pPr>
        <w:rPr>
          <w:rFonts w:ascii="Tahoma" w:hAnsi="Tahoma" w:cs="Tahoma"/>
        </w:rPr>
      </w:pPr>
      <w:r w:rsidRPr="0045630B">
        <w:rPr>
          <w:rFonts w:cs="Tahoma"/>
        </w:rPr>
        <w:t>Use this test in practice when the populations are at least 10 times as large as the samples and</w:t>
      </w:r>
      <w:r>
        <w:rPr>
          <w:rFonts w:ascii="Tahoma" w:hAnsi="Tahoma" w:cs="Tahoma"/>
        </w:rPr>
        <w:t xml:space="preserve"> n</w:t>
      </w:r>
      <w:r>
        <w:rPr>
          <w:rFonts w:ascii="Tahoma" w:hAnsi="Tahoma" w:cs="Tahoma"/>
          <w:vertAlign w:val="subscript"/>
        </w:rPr>
        <w:t>1</w:t>
      </w:r>
      <w:r>
        <w:rPr>
          <w:rFonts w:ascii="Ti83Pluspc" w:hAnsi="Ti83Pluspc" w:cs="Tahoma"/>
        </w:rPr>
        <w:t>ê</w:t>
      </w:r>
      <w:r>
        <w:rPr>
          <w:rFonts w:ascii="Tahoma" w:hAnsi="Tahoma" w:cs="Tahoma"/>
          <w:vertAlign w:val="subscript"/>
        </w:rPr>
        <w:t>1</w:t>
      </w:r>
      <w:r>
        <w:rPr>
          <w:rFonts w:ascii="Tahoma" w:hAnsi="Tahoma" w:cs="Tahoma"/>
        </w:rPr>
        <w:t>, n</w:t>
      </w:r>
      <w:r>
        <w:rPr>
          <w:rFonts w:ascii="Tahoma" w:hAnsi="Tahoma" w:cs="Tahoma"/>
          <w:vertAlign w:val="subscript"/>
        </w:rPr>
        <w:t>1</w:t>
      </w:r>
      <w:r>
        <w:rPr>
          <w:rFonts w:ascii="Tahoma" w:hAnsi="Tahoma" w:cs="Tahoma"/>
        </w:rPr>
        <w:t xml:space="preserve">(1 – </w:t>
      </w:r>
      <w:r>
        <w:rPr>
          <w:rFonts w:ascii="Ti83Pluspc" w:hAnsi="Ti83Pluspc" w:cs="Tahoma"/>
        </w:rPr>
        <w:t>ê</w:t>
      </w:r>
      <w:r>
        <w:rPr>
          <w:rFonts w:ascii="Ti83Pluspc" w:hAnsi="Ti83Pluspc" w:cs="Tahoma"/>
          <w:vertAlign w:val="subscript"/>
        </w:rPr>
        <w:t>1</w:t>
      </w:r>
      <w:r>
        <w:rPr>
          <w:rFonts w:ascii="Tahoma" w:hAnsi="Tahoma" w:cs="Tahoma"/>
        </w:rPr>
        <w:t>), n</w:t>
      </w:r>
      <w:r>
        <w:rPr>
          <w:rFonts w:ascii="Tahoma" w:hAnsi="Tahoma" w:cs="Tahoma"/>
          <w:vertAlign w:val="subscript"/>
        </w:rPr>
        <w:t>2</w:t>
      </w:r>
      <w:r>
        <w:rPr>
          <w:rFonts w:ascii="Ti83Pluspc" w:hAnsi="Ti83Pluspc" w:cs="Tahoma"/>
        </w:rPr>
        <w:t>ê</w:t>
      </w:r>
      <w:r>
        <w:rPr>
          <w:rFonts w:ascii="Tahoma" w:hAnsi="Tahoma" w:cs="Tahoma"/>
          <w:vertAlign w:val="subscript"/>
        </w:rPr>
        <w:t>2</w:t>
      </w:r>
      <w:r>
        <w:rPr>
          <w:rFonts w:ascii="Tahoma" w:hAnsi="Tahoma" w:cs="Tahoma"/>
        </w:rPr>
        <w:t xml:space="preserve">, </w:t>
      </w:r>
      <w:r w:rsidRPr="0045630B">
        <w:rPr>
          <w:rFonts w:cs="Tahoma"/>
        </w:rPr>
        <w:t>and</w:t>
      </w:r>
      <w:r>
        <w:rPr>
          <w:rFonts w:ascii="Tahoma" w:hAnsi="Tahoma" w:cs="Tahoma"/>
        </w:rPr>
        <w:t xml:space="preserve"> n</w:t>
      </w:r>
      <w:r>
        <w:rPr>
          <w:rFonts w:ascii="Tahoma" w:hAnsi="Tahoma" w:cs="Tahoma"/>
          <w:vertAlign w:val="subscript"/>
        </w:rPr>
        <w:t>2</w:t>
      </w:r>
      <w:r>
        <w:rPr>
          <w:rFonts w:ascii="Tahoma" w:hAnsi="Tahoma" w:cs="Tahoma"/>
        </w:rPr>
        <w:t xml:space="preserve">(1 – </w:t>
      </w:r>
      <w:r>
        <w:rPr>
          <w:rFonts w:ascii="Ti83Pluspc" w:hAnsi="Ti83Pluspc" w:cs="Tahoma"/>
        </w:rPr>
        <w:t>ê</w:t>
      </w:r>
      <w:r>
        <w:rPr>
          <w:rFonts w:ascii="Tahoma" w:hAnsi="Tahoma" w:cs="Tahoma"/>
          <w:vertAlign w:val="subscript"/>
        </w:rPr>
        <w:t>2</w:t>
      </w:r>
      <w:r>
        <w:rPr>
          <w:rFonts w:ascii="Tahoma" w:hAnsi="Tahoma" w:cs="Tahoma"/>
        </w:rPr>
        <w:t xml:space="preserve">) </w:t>
      </w:r>
      <w:r w:rsidRPr="0045630B">
        <w:rPr>
          <w:rFonts w:cs="Tahoma"/>
        </w:rPr>
        <w:t xml:space="preserve">are all </w:t>
      </w:r>
      <w:r w:rsidRPr="0045630B">
        <w:rPr>
          <w:rFonts w:cs="Tahoma"/>
          <w:b/>
        </w:rPr>
        <w:t>5 or more</w:t>
      </w:r>
      <w:r w:rsidRPr="0045630B">
        <w:rPr>
          <w:rFonts w:cs="Tahoma"/>
        </w:rPr>
        <w:t>.</w:t>
      </w:r>
    </w:p>
    <w:p w:rsidR="00F13FBB" w:rsidRDefault="00F13FBB" w:rsidP="00F83E39">
      <w:pPr>
        <w:rPr>
          <w:rFonts w:ascii="Trebuchet MS" w:hAnsi="Trebuchet MS"/>
        </w:rPr>
      </w:pPr>
    </w:p>
    <w:p w:rsidR="00F13FBB" w:rsidRDefault="00F13FBB" w:rsidP="00F83E39">
      <w:pPr>
        <w:rPr>
          <w:rFonts w:ascii="Trebuchet MS" w:hAnsi="Trebuchet MS"/>
        </w:rPr>
      </w:pPr>
    </w:p>
    <w:p w:rsidR="00F13FBB" w:rsidRDefault="00F13FBB" w:rsidP="00F83E39">
      <w:pPr>
        <w:rPr>
          <w:rFonts w:ascii="Trebuchet MS" w:hAnsi="Trebuchet MS"/>
        </w:rPr>
      </w:pPr>
    </w:p>
    <w:p w:rsidR="00F13FBB" w:rsidRPr="004E77B9" w:rsidRDefault="00F13FBB" w:rsidP="00994A9B">
      <w:pPr>
        <w:pStyle w:val="NoSpacing"/>
        <w:rPr>
          <w:sz w:val="24"/>
          <w:szCs w:val="24"/>
        </w:rPr>
      </w:pPr>
    </w:p>
    <w:sectPr w:rsidR="00F13FBB" w:rsidRPr="004E77B9" w:rsidSect="000510A9">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83Pluspc">
    <w:panose1 w:val="020B0609020003040203"/>
    <w:charset w:val="00"/>
    <w:family w:val="modern"/>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68D8"/>
    <w:multiLevelType w:val="hybridMultilevel"/>
    <w:tmpl w:val="0E564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BA19DF"/>
    <w:multiLevelType w:val="hybridMultilevel"/>
    <w:tmpl w:val="61D23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A837D1"/>
    <w:multiLevelType w:val="hybridMultilevel"/>
    <w:tmpl w:val="0FAEC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005C94"/>
    <w:multiLevelType w:val="hybridMultilevel"/>
    <w:tmpl w:val="D370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B47F4B"/>
    <w:multiLevelType w:val="hybridMultilevel"/>
    <w:tmpl w:val="83BC2C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AB6B90"/>
    <w:multiLevelType w:val="hybridMultilevel"/>
    <w:tmpl w:val="9D9E49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4E7871"/>
    <w:multiLevelType w:val="hybridMultilevel"/>
    <w:tmpl w:val="1298BF00"/>
    <w:lvl w:ilvl="0" w:tplc="14BA637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3F51A1"/>
    <w:multiLevelType w:val="hybridMultilevel"/>
    <w:tmpl w:val="C4209E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560EE6"/>
    <w:multiLevelType w:val="hybridMultilevel"/>
    <w:tmpl w:val="9B36D1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7705ECF"/>
    <w:multiLevelType w:val="hybridMultilevel"/>
    <w:tmpl w:val="C7E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3"/>
  </w:num>
  <w:num w:numId="6">
    <w:abstractNumId w:val="6"/>
  </w:num>
  <w:num w:numId="7">
    <w:abstractNumId w:val="4"/>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26F"/>
    <w:rsid w:val="000510A9"/>
    <w:rsid w:val="00055C1E"/>
    <w:rsid w:val="00096831"/>
    <w:rsid w:val="00111A89"/>
    <w:rsid w:val="001D4B46"/>
    <w:rsid w:val="00241CB9"/>
    <w:rsid w:val="002667D0"/>
    <w:rsid w:val="00273DB8"/>
    <w:rsid w:val="002908D4"/>
    <w:rsid w:val="0030216E"/>
    <w:rsid w:val="00360CB9"/>
    <w:rsid w:val="00400AFF"/>
    <w:rsid w:val="0045630B"/>
    <w:rsid w:val="00456B21"/>
    <w:rsid w:val="00462854"/>
    <w:rsid w:val="00474B3E"/>
    <w:rsid w:val="004C0527"/>
    <w:rsid w:val="004E77B9"/>
    <w:rsid w:val="00555A55"/>
    <w:rsid w:val="005A1B59"/>
    <w:rsid w:val="005F1ADA"/>
    <w:rsid w:val="00614857"/>
    <w:rsid w:val="0063407B"/>
    <w:rsid w:val="0068566F"/>
    <w:rsid w:val="006F326F"/>
    <w:rsid w:val="007A380C"/>
    <w:rsid w:val="007E5057"/>
    <w:rsid w:val="007F4A60"/>
    <w:rsid w:val="00875847"/>
    <w:rsid w:val="00880824"/>
    <w:rsid w:val="008A0EBF"/>
    <w:rsid w:val="009408B5"/>
    <w:rsid w:val="00977DB3"/>
    <w:rsid w:val="00994A9B"/>
    <w:rsid w:val="009D5FCD"/>
    <w:rsid w:val="00A030DE"/>
    <w:rsid w:val="00A62876"/>
    <w:rsid w:val="00A63E36"/>
    <w:rsid w:val="00A834D2"/>
    <w:rsid w:val="00A93993"/>
    <w:rsid w:val="00AC70B5"/>
    <w:rsid w:val="00BD7585"/>
    <w:rsid w:val="00C654D6"/>
    <w:rsid w:val="00CA7D65"/>
    <w:rsid w:val="00CE6895"/>
    <w:rsid w:val="00DB4048"/>
    <w:rsid w:val="00DC396E"/>
    <w:rsid w:val="00DF5AF7"/>
    <w:rsid w:val="00DF6907"/>
    <w:rsid w:val="00E27095"/>
    <w:rsid w:val="00E72C3A"/>
    <w:rsid w:val="00ED5FBF"/>
    <w:rsid w:val="00F106C7"/>
    <w:rsid w:val="00F13FBB"/>
    <w:rsid w:val="00F83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24"/>
    <w:pPr>
      <w:spacing w:after="200" w:line="276" w:lineRule="auto"/>
    </w:pPr>
  </w:style>
  <w:style w:type="paragraph" w:styleId="Heading1">
    <w:name w:val="heading 1"/>
    <w:basedOn w:val="Normal"/>
    <w:next w:val="Normal"/>
    <w:link w:val="Heading1Char"/>
    <w:uiPriority w:val="99"/>
    <w:qFormat/>
    <w:rsid w:val="006F326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F32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83E3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83E3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2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F326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83E39"/>
    <w:rPr>
      <w:rFonts w:ascii="Cambria" w:hAnsi="Cambria" w:cs="Times New Roman"/>
      <w:b/>
      <w:bCs/>
      <w:color w:val="4F81BD"/>
    </w:rPr>
  </w:style>
  <w:style w:type="character" w:customStyle="1" w:styleId="Heading4Char">
    <w:name w:val="Heading 4 Char"/>
    <w:basedOn w:val="DefaultParagraphFont"/>
    <w:link w:val="Heading4"/>
    <w:uiPriority w:val="99"/>
    <w:locked/>
    <w:rsid w:val="00F83E39"/>
    <w:rPr>
      <w:rFonts w:ascii="Cambria" w:hAnsi="Cambria" w:cs="Times New Roman"/>
      <w:b/>
      <w:bCs/>
      <w:i/>
      <w:iCs/>
      <w:color w:val="4F81BD"/>
    </w:rPr>
  </w:style>
  <w:style w:type="paragraph" w:styleId="Title">
    <w:name w:val="Title"/>
    <w:basedOn w:val="Normal"/>
    <w:next w:val="Normal"/>
    <w:link w:val="TitleChar"/>
    <w:uiPriority w:val="99"/>
    <w:qFormat/>
    <w:rsid w:val="006F326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F326F"/>
    <w:rPr>
      <w:rFonts w:ascii="Cambria" w:hAnsi="Cambria" w:cs="Times New Roman"/>
      <w:color w:val="17365D"/>
      <w:spacing w:val="5"/>
      <w:kern w:val="28"/>
      <w:sz w:val="52"/>
      <w:szCs w:val="52"/>
    </w:rPr>
  </w:style>
  <w:style w:type="paragraph" w:styleId="ListParagraph">
    <w:name w:val="List Paragraph"/>
    <w:basedOn w:val="Normal"/>
    <w:uiPriority w:val="99"/>
    <w:qFormat/>
    <w:rsid w:val="007F4A60"/>
    <w:pPr>
      <w:ind w:left="720"/>
      <w:contextualSpacing/>
    </w:pPr>
  </w:style>
  <w:style w:type="paragraph" w:styleId="NoSpacing">
    <w:name w:val="No Spacing"/>
    <w:uiPriority w:val="99"/>
    <w:qFormat/>
    <w:rsid w:val="007F4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173</Words>
  <Characters>992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Suk</dc:creator>
  <cp:keywords/>
  <dc:description/>
  <cp:lastModifiedBy>asuk</cp:lastModifiedBy>
  <cp:revision>4</cp:revision>
  <cp:lastPrinted>2008-07-09T21:40:00Z</cp:lastPrinted>
  <dcterms:created xsi:type="dcterms:W3CDTF">2009-04-08T02:26:00Z</dcterms:created>
  <dcterms:modified xsi:type="dcterms:W3CDTF">2009-04-09T21:01:00Z</dcterms:modified>
</cp:coreProperties>
</file>