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9C" w:rsidRPr="00C00D0E" w:rsidRDefault="007E489C" w:rsidP="00C00D0E">
      <w:pPr>
        <w:pStyle w:val="Title"/>
        <w:rPr>
          <w:color w:val="auto"/>
          <w:sz w:val="36"/>
          <w:szCs w:val="36"/>
        </w:rPr>
      </w:pPr>
      <w:r>
        <w:rPr>
          <w:color w:val="auto"/>
          <w:sz w:val="36"/>
          <w:szCs w:val="36"/>
        </w:rPr>
        <w:t>Lesson 11-2 Comparing Two Means</w:t>
      </w:r>
    </w:p>
    <w:p w:rsidR="007E489C" w:rsidRPr="00C00D0E" w:rsidRDefault="007E489C" w:rsidP="00C00D0E">
      <w:pPr>
        <w:pStyle w:val="Heading1"/>
      </w:pPr>
      <w:r w:rsidRPr="00C00D0E">
        <w:t>Two-sample problems</w:t>
      </w:r>
    </w:p>
    <w:p w:rsidR="007E489C" w:rsidRPr="00C00D0E" w:rsidRDefault="007E489C" w:rsidP="00C00D0E">
      <w:pPr>
        <w:rPr>
          <w:sz w:val="24"/>
          <w:szCs w:val="24"/>
        </w:rPr>
      </w:pPr>
      <w:r w:rsidRPr="00C00D0E">
        <w:rPr>
          <w:sz w:val="24"/>
          <w:szCs w:val="24"/>
        </w:rPr>
        <w:t>The goal of inference is to compare the responses to two treatments or to compare two populations. We have separate samples from each treatment or each population.</w:t>
      </w:r>
    </w:p>
    <w:p w:rsidR="007E489C" w:rsidRPr="00C00D0E" w:rsidRDefault="007E489C" w:rsidP="00C00D0E">
      <w:pPr>
        <w:pStyle w:val="Heading1"/>
      </w:pPr>
      <w:r w:rsidRPr="00C00D0E">
        <w:t>Assumptions for comparing two means</w:t>
      </w:r>
    </w:p>
    <w:p w:rsidR="007E489C" w:rsidRPr="00C00D0E" w:rsidRDefault="007E489C" w:rsidP="00C00D0E">
      <w:pPr>
        <w:rPr>
          <w:sz w:val="24"/>
          <w:szCs w:val="24"/>
        </w:rPr>
      </w:pPr>
      <w:r w:rsidRPr="00C00D0E">
        <w:rPr>
          <w:sz w:val="24"/>
          <w:szCs w:val="24"/>
        </w:rPr>
        <w:t xml:space="preserve">We have two SRSs </w:t>
      </w:r>
      <w:r w:rsidRPr="009B1A00">
        <w:rPr>
          <w:b/>
          <w:sz w:val="24"/>
          <w:szCs w:val="24"/>
        </w:rPr>
        <w:t>from two distinct populations.</w:t>
      </w:r>
      <w:r w:rsidRPr="00C00D0E">
        <w:rPr>
          <w:sz w:val="24"/>
          <w:szCs w:val="24"/>
        </w:rPr>
        <w:t xml:space="preserve">  The samples are </w:t>
      </w:r>
      <w:r w:rsidRPr="009B1A00">
        <w:rPr>
          <w:b/>
          <w:sz w:val="24"/>
          <w:szCs w:val="24"/>
        </w:rPr>
        <w:t>independent</w:t>
      </w:r>
      <w:r w:rsidRPr="00C00D0E">
        <w:rPr>
          <w:sz w:val="24"/>
          <w:szCs w:val="24"/>
        </w:rPr>
        <w:t>.  Matching violates independence.  We measure the same variable for both samples.</w:t>
      </w:r>
    </w:p>
    <w:p w:rsidR="007E489C" w:rsidRPr="00C00D0E" w:rsidRDefault="007E489C" w:rsidP="00C00D0E">
      <w:pPr>
        <w:rPr>
          <w:sz w:val="24"/>
          <w:szCs w:val="24"/>
        </w:rPr>
      </w:pPr>
      <w:r w:rsidRPr="00C00D0E">
        <w:rPr>
          <w:sz w:val="24"/>
          <w:szCs w:val="24"/>
        </w:rPr>
        <w:t>Both populations are normally distributed.  Both means and standard deviations of the populations are unknown.</w:t>
      </w:r>
    </w:p>
    <w:p w:rsidR="007E489C" w:rsidRPr="00C00D0E" w:rsidRDefault="007E489C" w:rsidP="00C00D0E">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6pt;margin-top:2.8pt;width:126pt;height:54.75pt;z-index:251658240" wrapcoords="3729 1184 129 5918 129 7989 4629 10652 8357 10652 8229 15386 7457 15978 7971 20712 8486 20712 16329 20416 16329 18049 15300 16570 12857 15386 16329 15386 17229 14203 16586 10652 19029 9764 21214 7101 20957 2663 20700 1184 3729 1184">
            <v:imagedata r:id="rId5" o:title=""/>
            <w10:wrap type="tight"/>
          </v:shape>
          <o:OLEObject Type="Embed" ProgID="Equation.DSMT4" ShapeID="_x0000_s1026" DrawAspect="Content" ObjectID="_1424252647" r:id="rId6"/>
        </w:pict>
      </w:r>
      <w:r w:rsidRPr="00C00D0E">
        <w:t>Two-sample t statistic</w:t>
      </w:r>
    </w:p>
    <w:p w:rsidR="007E489C" w:rsidRDefault="007E489C" w:rsidP="00C00D0E">
      <w:pPr>
        <w:rPr>
          <w:sz w:val="28"/>
          <w:szCs w:val="16"/>
        </w:rPr>
      </w:pPr>
    </w:p>
    <w:p w:rsidR="007E489C" w:rsidRPr="00C00D0E" w:rsidRDefault="007E489C" w:rsidP="00C00D0E">
      <w:pPr>
        <w:rPr>
          <w:sz w:val="24"/>
          <w:szCs w:val="24"/>
        </w:rPr>
      </w:pPr>
      <w:r w:rsidRPr="00C00D0E">
        <w:rPr>
          <w:sz w:val="24"/>
          <w:szCs w:val="24"/>
        </w:rPr>
        <w:t xml:space="preserve">The statistic </w:t>
      </w:r>
      <w:r w:rsidRPr="00D36274">
        <w:rPr>
          <w:i/>
          <w:sz w:val="24"/>
          <w:szCs w:val="24"/>
        </w:rPr>
        <w:t xml:space="preserve">t </w:t>
      </w:r>
      <w:r w:rsidRPr="00C00D0E">
        <w:rPr>
          <w:sz w:val="24"/>
          <w:szCs w:val="24"/>
        </w:rPr>
        <w:t xml:space="preserve">has the same interpretation as any </w:t>
      </w:r>
      <w:r w:rsidRPr="00D36274">
        <w:rPr>
          <w:i/>
          <w:sz w:val="24"/>
          <w:szCs w:val="24"/>
        </w:rPr>
        <w:t xml:space="preserve">z </w:t>
      </w:r>
      <w:r w:rsidRPr="00C00D0E">
        <w:rPr>
          <w:sz w:val="24"/>
          <w:szCs w:val="24"/>
        </w:rPr>
        <w:t xml:space="preserve">or </w:t>
      </w:r>
      <w:r w:rsidRPr="00D36274">
        <w:rPr>
          <w:i/>
          <w:sz w:val="24"/>
          <w:szCs w:val="24"/>
        </w:rPr>
        <w:t>t</w:t>
      </w:r>
      <w:r w:rsidRPr="00C00D0E">
        <w:rPr>
          <w:sz w:val="24"/>
          <w:szCs w:val="24"/>
        </w:rPr>
        <w:t xml:space="preserve"> statistic.  It says how far </w:t>
      </w:r>
      <w:r w:rsidRPr="009B1A00">
        <w:rPr>
          <w:rFonts w:ascii="Ti83pc" w:hAnsi="Ti83pc"/>
          <w:sz w:val="24"/>
          <w:szCs w:val="24"/>
        </w:rPr>
        <w:t>Ë</w:t>
      </w:r>
      <w:r w:rsidRPr="009B1A00">
        <w:rPr>
          <w:sz w:val="24"/>
          <w:szCs w:val="24"/>
          <w:vertAlign w:val="subscript"/>
        </w:rPr>
        <w:t>1</w:t>
      </w:r>
      <w:r w:rsidRPr="009B1A00">
        <w:rPr>
          <w:sz w:val="24"/>
          <w:szCs w:val="24"/>
        </w:rPr>
        <w:t xml:space="preserve"> – </w:t>
      </w:r>
      <w:r w:rsidRPr="009B1A00">
        <w:rPr>
          <w:rFonts w:ascii="Ti83pc" w:hAnsi="Ti83pc"/>
          <w:sz w:val="24"/>
          <w:szCs w:val="24"/>
        </w:rPr>
        <w:t>Ë</w:t>
      </w:r>
      <w:r w:rsidRPr="009B1A00">
        <w:rPr>
          <w:sz w:val="24"/>
          <w:szCs w:val="24"/>
          <w:vertAlign w:val="subscript"/>
        </w:rPr>
        <w:t>2</w:t>
      </w:r>
      <w:r w:rsidRPr="00C00D0E">
        <w:rPr>
          <w:sz w:val="24"/>
          <w:szCs w:val="24"/>
        </w:rPr>
        <w:t xml:space="preserve"> is from its mean in standard deviation units.  Unfortunately, a two-sample</w:t>
      </w:r>
      <w:r w:rsidRPr="00D36274">
        <w:rPr>
          <w:i/>
          <w:sz w:val="24"/>
          <w:szCs w:val="24"/>
        </w:rPr>
        <w:t xml:space="preserve"> t</w:t>
      </w:r>
      <w:r w:rsidRPr="00C00D0E">
        <w:rPr>
          <w:sz w:val="24"/>
          <w:szCs w:val="24"/>
        </w:rPr>
        <w:t xml:space="preserve"> statistic does not have a</w:t>
      </w:r>
      <w:r w:rsidRPr="00D36274">
        <w:rPr>
          <w:i/>
          <w:sz w:val="24"/>
          <w:szCs w:val="24"/>
        </w:rPr>
        <w:t xml:space="preserve"> t</w:t>
      </w:r>
      <w:r w:rsidRPr="00C00D0E">
        <w:rPr>
          <w:sz w:val="24"/>
          <w:szCs w:val="24"/>
        </w:rPr>
        <w:t xml:space="preserve"> distribution.  We have two options</w:t>
      </w:r>
      <w:r>
        <w:rPr>
          <w:sz w:val="24"/>
          <w:szCs w:val="24"/>
        </w:rPr>
        <w:t>:</w:t>
      </w:r>
    </w:p>
    <w:p w:rsidR="007E489C" w:rsidRPr="00C00D0E" w:rsidRDefault="007E489C" w:rsidP="00C00D0E">
      <w:pPr>
        <w:ind w:left="990" w:hanging="990"/>
      </w:pPr>
      <w:r w:rsidRPr="00C00D0E">
        <w:t xml:space="preserve">Option 1: Use procedures based on the statistic </w:t>
      </w:r>
      <w:r w:rsidRPr="00C00D0E">
        <w:rPr>
          <w:i/>
          <w:iCs/>
        </w:rPr>
        <w:t>t</w:t>
      </w:r>
      <w:r w:rsidRPr="00C00D0E">
        <w:t xml:space="preserve"> with degrees of freedom from the data.  The degrees of freedom are generally not a whole number.  This is a very accurate approximation to the distribution of </w:t>
      </w:r>
      <w:r w:rsidRPr="00C00D0E">
        <w:rPr>
          <w:i/>
          <w:iCs/>
        </w:rPr>
        <w:t>t</w:t>
      </w:r>
      <w:r w:rsidRPr="00C00D0E">
        <w:t>.</w:t>
      </w:r>
    </w:p>
    <w:p w:rsidR="007E489C" w:rsidRPr="00C00D0E" w:rsidRDefault="007E489C" w:rsidP="00C00D0E">
      <w:pPr>
        <w:ind w:left="990" w:hanging="990"/>
        <w:rPr>
          <w:i/>
        </w:rPr>
      </w:pPr>
      <w:r w:rsidRPr="00C00D0E">
        <w:t xml:space="preserve">Option 2: Use procedures based on the statistic </w:t>
      </w:r>
      <w:r w:rsidRPr="00C00D0E">
        <w:rPr>
          <w:i/>
          <w:iCs/>
        </w:rPr>
        <w:t>t</w:t>
      </w:r>
      <w:r w:rsidRPr="00C00D0E">
        <w:t xml:space="preserve"> with critical values from the </w:t>
      </w:r>
      <w:r w:rsidRPr="00C00D0E">
        <w:rPr>
          <w:i/>
          <w:iCs/>
        </w:rPr>
        <w:t>t</w:t>
      </w:r>
      <w:r w:rsidRPr="00C00D0E">
        <w:t xml:space="preserve"> distribution with degrees of freedom equal to the smaller of n</w:t>
      </w:r>
      <w:r w:rsidRPr="00C00D0E">
        <w:rPr>
          <w:vertAlign w:val="subscript"/>
        </w:rPr>
        <w:t>1</w:t>
      </w:r>
      <w:r w:rsidRPr="00C00D0E">
        <w:t xml:space="preserve"> – 1 and n</w:t>
      </w:r>
      <w:r w:rsidRPr="00C00D0E">
        <w:rPr>
          <w:vertAlign w:val="subscript"/>
        </w:rPr>
        <w:t>2</w:t>
      </w:r>
      <w:r w:rsidRPr="00C00D0E">
        <w:t xml:space="preserve"> – 1.  These procedures are always conservative for any two normal populations. The true P-values or critical values will always be equal to or less than the value calculated from </w:t>
      </w:r>
      <w:r w:rsidRPr="00C00D0E">
        <w:rPr>
          <w:i/>
        </w:rPr>
        <w:t>t(k).</w:t>
      </w:r>
    </w:p>
    <w:p w:rsidR="007E489C" w:rsidRPr="00C00D0E" w:rsidRDefault="007E489C" w:rsidP="00C00D0E">
      <w:pPr>
        <w:pStyle w:val="Heading1"/>
      </w:pPr>
      <w:r w:rsidRPr="00C00D0E">
        <w:t>Using the two sample t-procedures</w:t>
      </w:r>
    </w:p>
    <w:p w:rsidR="007E489C" w:rsidRPr="00C00D0E" w:rsidRDefault="007E489C" w:rsidP="00C00D0E">
      <w:pPr>
        <w:rPr>
          <w:sz w:val="24"/>
          <w:szCs w:val="24"/>
        </w:rPr>
      </w:pPr>
      <w:r w:rsidRPr="00C00D0E">
        <w:rPr>
          <w:sz w:val="24"/>
          <w:szCs w:val="24"/>
        </w:rPr>
        <w:t>Except in the case of small samples, the assumption that the data are an SRS from the population of interest is more important than the assumption that the population distribution is normal.</w:t>
      </w:r>
    </w:p>
    <w:p w:rsidR="007E489C" w:rsidRDefault="007E489C" w:rsidP="00C00D0E">
      <w:pPr>
        <w:numPr>
          <w:ilvl w:val="0"/>
          <w:numId w:val="9"/>
        </w:numPr>
        <w:tabs>
          <w:tab w:val="clear" w:pos="720"/>
          <w:tab w:val="num" w:pos="810"/>
        </w:tabs>
        <w:spacing w:after="0" w:line="240" w:lineRule="auto"/>
        <w:ind w:left="810"/>
        <w:rPr>
          <w:sz w:val="28"/>
        </w:rPr>
      </w:pPr>
      <w:r w:rsidRPr="00C00D0E">
        <w:rPr>
          <w:b/>
          <w:i/>
          <w:sz w:val="24"/>
          <w:szCs w:val="24"/>
        </w:rPr>
        <w:t>Sum of the sample size less than 15</w:t>
      </w:r>
      <w:r w:rsidRPr="00C00D0E">
        <w:rPr>
          <w:sz w:val="24"/>
          <w:szCs w:val="24"/>
        </w:rPr>
        <w:t>.</w:t>
      </w:r>
      <w:r>
        <w:rPr>
          <w:sz w:val="28"/>
        </w:rPr>
        <w:t xml:space="preserve">  </w:t>
      </w:r>
      <w:r w:rsidRPr="00C00D0E">
        <w:rPr>
          <w:sz w:val="24"/>
          <w:szCs w:val="24"/>
        </w:rPr>
        <w:t xml:space="preserve">Use </w:t>
      </w:r>
      <w:r w:rsidRPr="00D36274">
        <w:rPr>
          <w:i/>
          <w:sz w:val="24"/>
          <w:szCs w:val="24"/>
        </w:rPr>
        <w:t>t</w:t>
      </w:r>
      <w:r w:rsidRPr="00C00D0E">
        <w:rPr>
          <w:sz w:val="24"/>
          <w:szCs w:val="24"/>
        </w:rPr>
        <w:t xml:space="preserve"> procedures if the data are close to normal.  If the data are clearly non-normal or if outliers are present, do not use </w:t>
      </w:r>
      <w:r w:rsidRPr="00D36274">
        <w:rPr>
          <w:i/>
          <w:sz w:val="24"/>
          <w:szCs w:val="24"/>
        </w:rPr>
        <w:t xml:space="preserve">t </w:t>
      </w:r>
      <w:r w:rsidRPr="00C00D0E">
        <w:rPr>
          <w:sz w:val="24"/>
          <w:szCs w:val="24"/>
        </w:rPr>
        <w:t>procedures.</w:t>
      </w:r>
    </w:p>
    <w:p w:rsidR="007E489C" w:rsidRDefault="007E489C" w:rsidP="00C00D0E">
      <w:pPr>
        <w:numPr>
          <w:ilvl w:val="0"/>
          <w:numId w:val="9"/>
        </w:numPr>
        <w:tabs>
          <w:tab w:val="clear" w:pos="720"/>
          <w:tab w:val="num" w:pos="810"/>
        </w:tabs>
        <w:spacing w:after="0" w:line="240" w:lineRule="auto"/>
        <w:ind w:left="810"/>
        <w:rPr>
          <w:sz w:val="28"/>
        </w:rPr>
      </w:pPr>
      <w:r w:rsidRPr="00C00D0E">
        <w:rPr>
          <w:b/>
          <w:i/>
          <w:sz w:val="24"/>
          <w:szCs w:val="24"/>
        </w:rPr>
        <w:t>Sum of the sample size at least 15.</w:t>
      </w:r>
      <w:r w:rsidRPr="00C00D0E">
        <w:rPr>
          <w:sz w:val="24"/>
          <w:szCs w:val="24"/>
        </w:rPr>
        <w:t xml:space="preserve"> </w:t>
      </w:r>
      <w:r>
        <w:rPr>
          <w:sz w:val="28"/>
        </w:rPr>
        <w:t xml:space="preserve"> </w:t>
      </w:r>
      <w:r w:rsidRPr="00C00D0E">
        <w:rPr>
          <w:sz w:val="24"/>
          <w:szCs w:val="24"/>
        </w:rPr>
        <w:t xml:space="preserve">The </w:t>
      </w:r>
      <w:r w:rsidRPr="00D36274">
        <w:rPr>
          <w:i/>
          <w:sz w:val="24"/>
          <w:szCs w:val="24"/>
        </w:rPr>
        <w:t>t</w:t>
      </w:r>
      <w:r w:rsidRPr="00C00D0E">
        <w:rPr>
          <w:sz w:val="24"/>
          <w:szCs w:val="24"/>
        </w:rPr>
        <w:t xml:space="preserve"> procedures can be used except in the presence of outliers or strong skewness.</w:t>
      </w:r>
    </w:p>
    <w:p w:rsidR="007E489C" w:rsidRDefault="007E489C" w:rsidP="00C00D0E">
      <w:pPr>
        <w:numPr>
          <w:ilvl w:val="0"/>
          <w:numId w:val="9"/>
        </w:numPr>
        <w:tabs>
          <w:tab w:val="clear" w:pos="720"/>
          <w:tab w:val="num" w:pos="810"/>
        </w:tabs>
        <w:spacing w:after="0" w:line="240" w:lineRule="auto"/>
        <w:ind w:left="810"/>
        <w:rPr>
          <w:sz w:val="28"/>
        </w:rPr>
      </w:pPr>
      <w:r w:rsidRPr="00C00D0E">
        <w:rPr>
          <w:b/>
          <w:i/>
          <w:sz w:val="24"/>
          <w:szCs w:val="24"/>
        </w:rPr>
        <w:t>Large samples.</w:t>
      </w:r>
      <w:r w:rsidRPr="00C00D0E">
        <w:rPr>
          <w:sz w:val="24"/>
          <w:szCs w:val="24"/>
        </w:rPr>
        <w:t xml:space="preserve"> </w:t>
      </w:r>
      <w:r>
        <w:rPr>
          <w:sz w:val="28"/>
        </w:rPr>
        <w:t xml:space="preserve"> </w:t>
      </w:r>
      <w:r w:rsidRPr="00C00D0E">
        <w:rPr>
          <w:sz w:val="24"/>
          <w:szCs w:val="24"/>
        </w:rPr>
        <w:t xml:space="preserve">The </w:t>
      </w:r>
      <w:r w:rsidRPr="00D36274">
        <w:rPr>
          <w:i/>
          <w:sz w:val="24"/>
          <w:szCs w:val="24"/>
        </w:rPr>
        <w:t xml:space="preserve">t </w:t>
      </w:r>
      <w:r w:rsidRPr="00C00D0E">
        <w:rPr>
          <w:sz w:val="24"/>
          <w:szCs w:val="24"/>
        </w:rPr>
        <w:t>procedures can be used even for clearly skewed distribution when the sample is large, roughly n</w:t>
      </w:r>
      <w:r w:rsidRPr="00C00D0E">
        <w:rPr>
          <w:sz w:val="24"/>
          <w:szCs w:val="24"/>
          <w:vertAlign w:val="subscript"/>
        </w:rPr>
        <w:t>1</w:t>
      </w:r>
      <w:r w:rsidRPr="00C00D0E">
        <w:rPr>
          <w:sz w:val="24"/>
          <w:szCs w:val="24"/>
        </w:rPr>
        <w:t xml:space="preserve"> + n</w:t>
      </w:r>
      <w:r w:rsidRPr="00C00D0E">
        <w:rPr>
          <w:sz w:val="24"/>
          <w:szCs w:val="24"/>
          <w:vertAlign w:val="subscript"/>
        </w:rPr>
        <w:t>2</w:t>
      </w:r>
      <w:r w:rsidRPr="00C00D0E">
        <w:rPr>
          <w:sz w:val="24"/>
          <w:szCs w:val="24"/>
        </w:rPr>
        <w:t xml:space="preserve"> </w:t>
      </w:r>
      <w:r w:rsidRPr="00C00D0E">
        <w:rPr>
          <w:sz w:val="24"/>
          <w:szCs w:val="24"/>
        </w:rPr>
        <w:sym w:font="Symbol" w:char="F0B3"/>
      </w:r>
      <w:r w:rsidRPr="00C00D0E">
        <w:rPr>
          <w:sz w:val="24"/>
          <w:szCs w:val="24"/>
        </w:rPr>
        <w:t xml:space="preserve"> 40.</w:t>
      </w:r>
    </w:p>
    <w:p w:rsidR="007E489C" w:rsidRDefault="007E489C" w:rsidP="00C00D0E">
      <w:pPr>
        <w:ind w:left="450"/>
        <w:rPr>
          <w:sz w:val="28"/>
        </w:rPr>
      </w:pPr>
    </w:p>
    <w:p w:rsidR="007E489C" w:rsidRDefault="007E489C" w:rsidP="00C00D0E">
      <w:pPr>
        <w:rPr>
          <w:sz w:val="24"/>
          <w:szCs w:val="24"/>
        </w:rPr>
      </w:pPr>
      <w:r w:rsidRPr="00C00D0E">
        <w:rPr>
          <w:sz w:val="24"/>
          <w:szCs w:val="24"/>
        </w:rPr>
        <w:t>When planning a two-sample study, it is best to choose to equal sample sizes whenever possible.</w:t>
      </w:r>
    </w:p>
    <w:p w:rsidR="007E489C" w:rsidRDefault="007E489C" w:rsidP="00C00D0E">
      <w:pPr>
        <w:rPr>
          <w:sz w:val="24"/>
          <w:szCs w:val="24"/>
        </w:rPr>
      </w:pPr>
    </w:p>
    <w:p w:rsidR="007E489C" w:rsidRPr="009D0B11" w:rsidRDefault="007E489C" w:rsidP="009D0B11">
      <w:pPr>
        <w:rPr>
          <w:sz w:val="24"/>
          <w:szCs w:val="24"/>
        </w:rPr>
      </w:pPr>
      <w:r w:rsidRPr="009D0B11">
        <w:rPr>
          <w:sz w:val="24"/>
          <w:szCs w:val="24"/>
        </w:rPr>
        <w:t>We would like to compare the me</w:t>
      </w:r>
      <w:r>
        <w:rPr>
          <w:sz w:val="24"/>
          <w:szCs w:val="24"/>
        </w:rPr>
        <w:t>an fill of 16 ounce cans of soda</w:t>
      </w:r>
      <w:r w:rsidRPr="009D0B11">
        <w:rPr>
          <w:sz w:val="24"/>
          <w:szCs w:val="24"/>
        </w:rPr>
        <w:t xml:space="preserve"> from two adjacent filling machines.  Past experience has shown that the population standard deviations of fills for the two machines are known to be s1 = 0.043 and s2 = 0.052 respectively.  </w:t>
      </w:r>
    </w:p>
    <w:p w:rsidR="007E489C" w:rsidRDefault="007E489C" w:rsidP="009D0B11">
      <w:pPr>
        <w:rPr>
          <w:sz w:val="24"/>
          <w:szCs w:val="24"/>
        </w:rPr>
      </w:pPr>
      <w:r w:rsidRPr="009D0B11">
        <w:rPr>
          <w:sz w:val="24"/>
          <w:szCs w:val="24"/>
        </w:rPr>
        <w:t>A sample of 35 cans from machine 1 gave a mean of 16.031 and a sample of 31 cans from machine 2 gave a mean of 16.009.  State, perform and interpret an appropriate hypothesis test using the 0.05 level of significance.</w:t>
      </w:r>
    </w:p>
    <w:p w:rsidR="007E489C" w:rsidRDefault="007E489C" w:rsidP="009D0B11">
      <w:pPr>
        <w:rPr>
          <w:sz w:val="24"/>
          <w:szCs w:val="24"/>
        </w:rPr>
      </w:pPr>
    </w:p>
    <w:p w:rsidR="007E489C" w:rsidRDefault="007E489C" w:rsidP="009D0B11">
      <w:pPr>
        <w:rPr>
          <w:sz w:val="24"/>
          <w:szCs w:val="24"/>
        </w:rPr>
      </w:pPr>
    </w:p>
    <w:p w:rsidR="007E489C" w:rsidRDefault="007E489C" w:rsidP="009D0B11">
      <w:pPr>
        <w:rPr>
          <w:sz w:val="24"/>
          <w:szCs w:val="24"/>
        </w:rPr>
      </w:pPr>
    </w:p>
    <w:p w:rsidR="007E489C" w:rsidRDefault="007E489C" w:rsidP="009D0B11">
      <w:pPr>
        <w:rPr>
          <w:sz w:val="24"/>
          <w:szCs w:val="24"/>
        </w:rPr>
      </w:pPr>
    </w:p>
    <w:p w:rsidR="007E489C" w:rsidRDefault="007E489C" w:rsidP="009D0B11">
      <w:pPr>
        <w:rPr>
          <w:sz w:val="24"/>
          <w:szCs w:val="24"/>
        </w:rPr>
      </w:pPr>
    </w:p>
    <w:p w:rsidR="007E489C" w:rsidRDefault="007E489C" w:rsidP="009D0B11">
      <w:pPr>
        <w:rPr>
          <w:sz w:val="24"/>
          <w:szCs w:val="24"/>
        </w:rPr>
      </w:pPr>
    </w:p>
    <w:p w:rsidR="007E489C" w:rsidRDefault="007E489C" w:rsidP="009D0B11">
      <w:pPr>
        <w:rPr>
          <w:sz w:val="24"/>
          <w:szCs w:val="24"/>
        </w:rPr>
      </w:pPr>
    </w:p>
    <w:p w:rsidR="007E489C" w:rsidRPr="00804D08" w:rsidRDefault="007E489C" w:rsidP="00804D08">
      <w:pPr>
        <w:rPr>
          <w:sz w:val="24"/>
          <w:szCs w:val="24"/>
        </w:rPr>
      </w:pPr>
      <w:r w:rsidRPr="00804D08">
        <w:rPr>
          <w:sz w:val="24"/>
          <w:szCs w:val="24"/>
        </w:rPr>
        <w:t xml:space="preserve">In an attempt to determine if two competing brands of cold medicine contain, on the average, the same amount of acetaminophen, twelve different tablets from each of the two competing brands were randomly selected and tested for the amount of acetaminophen each contains. The results (in milligrams) follow. Use a significance level of 0.01. </w:t>
      </w:r>
    </w:p>
    <w:p w:rsidR="007E489C" w:rsidRPr="00804D08" w:rsidRDefault="007E489C" w:rsidP="00804D08">
      <w:pPr>
        <w:ind w:left="720" w:firstLine="720"/>
        <w:rPr>
          <w:sz w:val="24"/>
          <w:szCs w:val="24"/>
        </w:rPr>
      </w:pPr>
      <w:r w:rsidRPr="00804D08">
        <w:rPr>
          <w:sz w:val="24"/>
          <w:szCs w:val="24"/>
          <w:u w:val="single"/>
        </w:rPr>
        <w:t>Brand A</w:t>
      </w:r>
      <w:r w:rsidRPr="00804D08">
        <w:rPr>
          <w:sz w:val="24"/>
          <w:szCs w:val="24"/>
        </w:rPr>
        <w:tab/>
      </w:r>
      <w:r w:rsidRPr="00804D08">
        <w:rPr>
          <w:sz w:val="24"/>
          <w:szCs w:val="24"/>
        </w:rPr>
        <w:tab/>
        <w:t xml:space="preserve">       </w:t>
      </w:r>
      <w:r>
        <w:rPr>
          <w:sz w:val="24"/>
          <w:szCs w:val="24"/>
        </w:rPr>
        <w:tab/>
      </w:r>
      <w:r>
        <w:rPr>
          <w:sz w:val="24"/>
          <w:szCs w:val="24"/>
        </w:rPr>
        <w:tab/>
      </w:r>
      <w:r>
        <w:rPr>
          <w:sz w:val="24"/>
          <w:szCs w:val="24"/>
        </w:rPr>
        <w:tab/>
      </w:r>
      <w:r>
        <w:rPr>
          <w:sz w:val="24"/>
          <w:szCs w:val="24"/>
        </w:rPr>
        <w:tab/>
      </w:r>
      <w:r w:rsidRPr="00804D08">
        <w:rPr>
          <w:sz w:val="24"/>
          <w:szCs w:val="24"/>
          <w:u w:val="single"/>
        </w:rPr>
        <w:t xml:space="preserve">Brand B   </w:t>
      </w:r>
    </w:p>
    <w:p w:rsidR="007E489C" w:rsidRPr="00804D08" w:rsidRDefault="007E489C" w:rsidP="00804D08">
      <w:pPr>
        <w:rPr>
          <w:sz w:val="24"/>
          <w:szCs w:val="24"/>
        </w:rPr>
      </w:pPr>
      <w:r w:rsidRPr="00804D08">
        <w:rPr>
          <w:sz w:val="24"/>
          <w:szCs w:val="24"/>
        </w:rPr>
        <w:tab/>
        <w:t>517, 495, 503, 491</w:t>
      </w:r>
      <w:r w:rsidRPr="00804D08">
        <w:rPr>
          <w:sz w:val="24"/>
          <w:szCs w:val="24"/>
        </w:rPr>
        <w:tab/>
      </w:r>
      <w:r>
        <w:rPr>
          <w:sz w:val="24"/>
          <w:szCs w:val="24"/>
        </w:rPr>
        <w:tab/>
      </w:r>
      <w:r>
        <w:rPr>
          <w:sz w:val="24"/>
          <w:szCs w:val="24"/>
        </w:rPr>
        <w:tab/>
      </w:r>
      <w:r>
        <w:rPr>
          <w:sz w:val="24"/>
          <w:szCs w:val="24"/>
        </w:rPr>
        <w:tab/>
      </w:r>
      <w:r>
        <w:rPr>
          <w:sz w:val="24"/>
          <w:szCs w:val="24"/>
        </w:rPr>
        <w:tab/>
      </w:r>
      <w:r w:rsidRPr="00804D08">
        <w:rPr>
          <w:sz w:val="24"/>
          <w:szCs w:val="24"/>
        </w:rPr>
        <w:t>493, 508, 513, 521</w:t>
      </w:r>
    </w:p>
    <w:p w:rsidR="007E489C" w:rsidRPr="00804D08" w:rsidRDefault="007E489C" w:rsidP="00804D08">
      <w:pPr>
        <w:rPr>
          <w:sz w:val="24"/>
          <w:szCs w:val="24"/>
        </w:rPr>
      </w:pPr>
      <w:r w:rsidRPr="00804D08">
        <w:rPr>
          <w:sz w:val="24"/>
          <w:szCs w:val="24"/>
        </w:rPr>
        <w:tab/>
        <w:t>503, 493, 505, 495</w:t>
      </w:r>
      <w:r w:rsidRPr="00804D08">
        <w:rPr>
          <w:sz w:val="24"/>
          <w:szCs w:val="24"/>
        </w:rPr>
        <w:tab/>
      </w:r>
      <w:r>
        <w:rPr>
          <w:sz w:val="24"/>
          <w:szCs w:val="24"/>
        </w:rPr>
        <w:tab/>
      </w:r>
      <w:r>
        <w:rPr>
          <w:sz w:val="24"/>
          <w:szCs w:val="24"/>
        </w:rPr>
        <w:tab/>
      </w:r>
      <w:r>
        <w:rPr>
          <w:sz w:val="24"/>
          <w:szCs w:val="24"/>
        </w:rPr>
        <w:tab/>
      </w:r>
      <w:r>
        <w:rPr>
          <w:sz w:val="24"/>
          <w:szCs w:val="24"/>
        </w:rPr>
        <w:tab/>
      </w:r>
      <w:r w:rsidRPr="00804D08">
        <w:rPr>
          <w:sz w:val="24"/>
          <w:szCs w:val="24"/>
        </w:rPr>
        <w:t>541, 533, 500, 515</w:t>
      </w:r>
    </w:p>
    <w:p w:rsidR="007E489C" w:rsidRPr="00804D08" w:rsidRDefault="007E489C" w:rsidP="00804D08">
      <w:pPr>
        <w:rPr>
          <w:sz w:val="24"/>
          <w:szCs w:val="24"/>
        </w:rPr>
      </w:pPr>
      <w:r w:rsidRPr="00804D08">
        <w:rPr>
          <w:sz w:val="24"/>
          <w:szCs w:val="24"/>
        </w:rPr>
        <w:tab/>
        <w:t>498, 481, 499, 494</w:t>
      </w:r>
      <w:r w:rsidRPr="00804D08">
        <w:rPr>
          <w:sz w:val="24"/>
          <w:szCs w:val="24"/>
        </w:rPr>
        <w:tab/>
      </w:r>
      <w:r>
        <w:rPr>
          <w:sz w:val="24"/>
          <w:szCs w:val="24"/>
        </w:rPr>
        <w:tab/>
      </w:r>
      <w:r>
        <w:rPr>
          <w:sz w:val="24"/>
          <w:szCs w:val="24"/>
        </w:rPr>
        <w:tab/>
      </w:r>
      <w:r>
        <w:rPr>
          <w:sz w:val="24"/>
          <w:szCs w:val="24"/>
        </w:rPr>
        <w:tab/>
      </w:r>
      <w:r>
        <w:rPr>
          <w:sz w:val="24"/>
          <w:szCs w:val="24"/>
        </w:rPr>
        <w:tab/>
      </w:r>
      <w:r w:rsidRPr="00804D08">
        <w:rPr>
          <w:sz w:val="24"/>
          <w:szCs w:val="24"/>
        </w:rPr>
        <w:t>536, 498, 515, 515</w:t>
      </w:r>
    </w:p>
    <w:p w:rsidR="007E489C" w:rsidRDefault="007E489C" w:rsidP="00804D08">
      <w:pPr>
        <w:rPr>
          <w:sz w:val="24"/>
          <w:szCs w:val="24"/>
        </w:rPr>
      </w:pPr>
      <w:r w:rsidRPr="00804D08">
        <w:rPr>
          <w:sz w:val="24"/>
          <w:szCs w:val="24"/>
        </w:rPr>
        <w:t>State and perform an appropriate hypothesis test.</w:t>
      </w:r>
    </w:p>
    <w:p w:rsidR="007E489C" w:rsidRDefault="007E489C" w:rsidP="00804D08">
      <w:pPr>
        <w:rPr>
          <w:sz w:val="24"/>
          <w:szCs w:val="24"/>
        </w:rPr>
      </w:pPr>
    </w:p>
    <w:sectPr w:rsidR="007E489C"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83pc">
    <w:altName w:val="Consolas"/>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8D8"/>
    <w:multiLevelType w:val="hybridMultilevel"/>
    <w:tmpl w:val="0E56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A5D23"/>
    <w:multiLevelType w:val="hybridMultilevel"/>
    <w:tmpl w:val="C9708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837D1"/>
    <w:multiLevelType w:val="hybridMultilevel"/>
    <w:tmpl w:val="0FAEC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005C94"/>
    <w:multiLevelType w:val="hybridMultilevel"/>
    <w:tmpl w:val="D370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B47F4B"/>
    <w:multiLevelType w:val="hybridMultilevel"/>
    <w:tmpl w:val="83BC2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AB6B90"/>
    <w:multiLevelType w:val="hybridMultilevel"/>
    <w:tmpl w:val="9D9E4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4E7871"/>
    <w:multiLevelType w:val="hybridMultilevel"/>
    <w:tmpl w:val="1298BF00"/>
    <w:lvl w:ilvl="0" w:tplc="14BA637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3F51A1"/>
    <w:multiLevelType w:val="hybridMultilevel"/>
    <w:tmpl w:val="C4209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26F"/>
    <w:rsid w:val="000510A9"/>
    <w:rsid w:val="00055C1E"/>
    <w:rsid w:val="00096831"/>
    <w:rsid w:val="000C2F79"/>
    <w:rsid w:val="00111A89"/>
    <w:rsid w:val="001D4B46"/>
    <w:rsid w:val="00241CB9"/>
    <w:rsid w:val="002667D0"/>
    <w:rsid w:val="002908D4"/>
    <w:rsid w:val="0030216E"/>
    <w:rsid w:val="00360CB9"/>
    <w:rsid w:val="00400AFF"/>
    <w:rsid w:val="00456B21"/>
    <w:rsid w:val="00462854"/>
    <w:rsid w:val="00474B3E"/>
    <w:rsid w:val="004C0527"/>
    <w:rsid w:val="004E77B9"/>
    <w:rsid w:val="00555A55"/>
    <w:rsid w:val="005A1B59"/>
    <w:rsid w:val="005F1ADA"/>
    <w:rsid w:val="00614857"/>
    <w:rsid w:val="0063407B"/>
    <w:rsid w:val="00642C2B"/>
    <w:rsid w:val="00652DDB"/>
    <w:rsid w:val="0068566F"/>
    <w:rsid w:val="006F326F"/>
    <w:rsid w:val="007A380C"/>
    <w:rsid w:val="007E489C"/>
    <w:rsid w:val="007F4A60"/>
    <w:rsid w:val="00804D08"/>
    <w:rsid w:val="00860A6C"/>
    <w:rsid w:val="00880824"/>
    <w:rsid w:val="008A0EBF"/>
    <w:rsid w:val="008A15C8"/>
    <w:rsid w:val="00977DB3"/>
    <w:rsid w:val="00994A9B"/>
    <w:rsid w:val="00997D47"/>
    <w:rsid w:val="009B1A00"/>
    <w:rsid w:val="009B1E89"/>
    <w:rsid w:val="009C2E30"/>
    <w:rsid w:val="009D0B11"/>
    <w:rsid w:val="009D5FCD"/>
    <w:rsid w:val="00A62876"/>
    <w:rsid w:val="00A834D2"/>
    <w:rsid w:val="00AC70B5"/>
    <w:rsid w:val="00B40BC1"/>
    <w:rsid w:val="00BA624A"/>
    <w:rsid w:val="00BD7585"/>
    <w:rsid w:val="00C00D0E"/>
    <w:rsid w:val="00C654D6"/>
    <w:rsid w:val="00CE29D0"/>
    <w:rsid w:val="00CE6895"/>
    <w:rsid w:val="00D36274"/>
    <w:rsid w:val="00DB4048"/>
    <w:rsid w:val="00DF5AF7"/>
    <w:rsid w:val="00DF6907"/>
    <w:rsid w:val="00DF6AA4"/>
    <w:rsid w:val="00E27095"/>
    <w:rsid w:val="00E428FE"/>
    <w:rsid w:val="00E72C3A"/>
    <w:rsid w:val="00ED5FBF"/>
    <w:rsid w:val="00FC6EF2"/>
    <w:rsid w:val="00FC797D"/>
    <w:rsid w:val="00FE2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pPr>
      <w:spacing w:after="200" w:line="276" w:lineRule="auto"/>
    </w:pPr>
  </w:style>
  <w:style w:type="paragraph" w:styleId="Heading1">
    <w:name w:val="heading 1"/>
    <w:basedOn w:val="Normal"/>
    <w:next w:val="Normal"/>
    <w:link w:val="Heading1Char"/>
    <w:uiPriority w:val="99"/>
    <w:qFormat/>
    <w:rsid w:val="006F32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32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2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326F"/>
    <w:rPr>
      <w:rFonts w:ascii="Cambria" w:hAnsi="Cambria" w:cs="Times New Roman"/>
      <w:b/>
      <w:bCs/>
      <w:color w:val="4F81BD"/>
      <w:sz w:val="26"/>
      <w:szCs w:val="26"/>
    </w:rPr>
  </w:style>
  <w:style w:type="paragraph" w:styleId="Title">
    <w:name w:val="Title"/>
    <w:basedOn w:val="Normal"/>
    <w:next w:val="Normal"/>
    <w:link w:val="TitleChar"/>
    <w:uiPriority w:val="99"/>
    <w:qFormat/>
    <w:rsid w:val="006F326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326F"/>
    <w:rPr>
      <w:rFonts w:ascii="Cambria" w:hAnsi="Cambria" w:cs="Times New Roman"/>
      <w:color w:val="17365D"/>
      <w:spacing w:val="5"/>
      <w:kern w:val="28"/>
      <w:sz w:val="52"/>
      <w:szCs w:val="52"/>
    </w:rPr>
  </w:style>
  <w:style w:type="paragraph" w:styleId="ListParagraph">
    <w:name w:val="List Paragraph"/>
    <w:basedOn w:val="Normal"/>
    <w:uiPriority w:val="99"/>
    <w:qFormat/>
    <w:rsid w:val="007F4A60"/>
    <w:pPr>
      <w:ind w:left="720"/>
      <w:contextualSpacing/>
    </w:pPr>
  </w:style>
  <w:style w:type="paragraph" w:styleId="NoSpacing">
    <w:name w:val="No Spacing"/>
    <w:uiPriority w:val="99"/>
    <w:qFormat/>
    <w:rsid w:val="007F4A60"/>
  </w:style>
</w:styles>
</file>

<file path=word/webSettings.xml><?xml version="1.0" encoding="utf-8"?>
<w:webSettings xmlns:r="http://schemas.openxmlformats.org/officeDocument/2006/relationships" xmlns:w="http://schemas.openxmlformats.org/wordprocessingml/2006/main">
  <w:divs>
    <w:div w:id="4792261">
      <w:marLeft w:val="0"/>
      <w:marRight w:val="0"/>
      <w:marTop w:val="0"/>
      <w:marBottom w:val="0"/>
      <w:divBdr>
        <w:top w:val="none" w:sz="0" w:space="0" w:color="auto"/>
        <w:left w:val="none" w:sz="0" w:space="0" w:color="auto"/>
        <w:bottom w:val="none" w:sz="0" w:space="0" w:color="auto"/>
        <w:right w:val="none" w:sz="0" w:space="0" w:color="auto"/>
      </w:divBdr>
      <w:divsChild>
        <w:div w:id="4792251">
          <w:marLeft w:val="0"/>
          <w:marRight w:val="0"/>
          <w:marTop w:val="0"/>
          <w:marBottom w:val="0"/>
          <w:divBdr>
            <w:top w:val="none" w:sz="0" w:space="0" w:color="auto"/>
            <w:left w:val="none" w:sz="0" w:space="0" w:color="auto"/>
            <w:bottom w:val="none" w:sz="0" w:space="0" w:color="auto"/>
            <w:right w:val="none" w:sz="0" w:space="0" w:color="auto"/>
          </w:divBdr>
          <w:divsChild>
            <w:div w:id="4792253">
              <w:marLeft w:val="0"/>
              <w:marRight w:val="0"/>
              <w:marTop w:val="0"/>
              <w:marBottom w:val="0"/>
              <w:divBdr>
                <w:top w:val="none" w:sz="0" w:space="0" w:color="auto"/>
                <w:left w:val="none" w:sz="0" w:space="0" w:color="auto"/>
                <w:bottom w:val="none" w:sz="0" w:space="0" w:color="auto"/>
                <w:right w:val="none" w:sz="0" w:space="0" w:color="auto"/>
              </w:divBdr>
            </w:div>
            <w:div w:id="4792256">
              <w:marLeft w:val="0"/>
              <w:marRight w:val="0"/>
              <w:marTop w:val="0"/>
              <w:marBottom w:val="0"/>
              <w:divBdr>
                <w:top w:val="none" w:sz="0" w:space="0" w:color="auto"/>
                <w:left w:val="none" w:sz="0" w:space="0" w:color="auto"/>
                <w:bottom w:val="none" w:sz="0" w:space="0" w:color="auto"/>
                <w:right w:val="none" w:sz="0" w:space="0" w:color="auto"/>
              </w:divBdr>
            </w:div>
            <w:div w:id="4792257">
              <w:marLeft w:val="0"/>
              <w:marRight w:val="0"/>
              <w:marTop w:val="0"/>
              <w:marBottom w:val="0"/>
              <w:divBdr>
                <w:top w:val="none" w:sz="0" w:space="0" w:color="auto"/>
                <w:left w:val="none" w:sz="0" w:space="0" w:color="auto"/>
                <w:bottom w:val="none" w:sz="0" w:space="0" w:color="auto"/>
                <w:right w:val="none" w:sz="0" w:space="0" w:color="auto"/>
              </w:divBdr>
            </w:div>
            <w:div w:id="4792258">
              <w:marLeft w:val="0"/>
              <w:marRight w:val="0"/>
              <w:marTop w:val="0"/>
              <w:marBottom w:val="0"/>
              <w:divBdr>
                <w:top w:val="none" w:sz="0" w:space="0" w:color="auto"/>
                <w:left w:val="none" w:sz="0" w:space="0" w:color="auto"/>
                <w:bottom w:val="none" w:sz="0" w:space="0" w:color="auto"/>
                <w:right w:val="none" w:sz="0" w:space="0" w:color="auto"/>
              </w:divBdr>
            </w:div>
            <w:div w:id="4792259">
              <w:marLeft w:val="0"/>
              <w:marRight w:val="0"/>
              <w:marTop w:val="0"/>
              <w:marBottom w:val="0"/>
              <w:divBdr>
                <w:top w:val="none" w:sz="0" w:space="0" w:color="auto"/>
                <w:left w:val="none" w:sz="0" w:space="0" w:color="auto"/>
                <w:bottom w:val="none" w:sz="0" w:space="0" w:color="auto"/>
                <w:right w:val="none" w:sz="0" w:space="0" w:color="auto"/>
              </w:divBdr>
            </w:div>
            <w:div w:id="47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65">
      <w:marLeft w:val="0"/>
      <w:marRight w:val="0"/>
      <w:marTop w:val="0"/>
      <w:marBottom w:val="0"/>
      <w:divBdr>
        <w:top w:val="none" w:sz="0" w:space="0" w:color="auto"/>
        <w:left w:val="none" w:sz="0" w:space="0" w:color="auto"/>
        <w:bottom w:val="none" w:sz="0" w:space="0" w:color="auto"/>
        <w:right w:val="none" w:sz="0" w:space="0" w:color="auto"/>
      </w:divBdr>
      <w:divsChild>
        <w:div w:id="4792254">
          <w:marLeft w:val="0"/>
          <w:marRight w:val="0"/>
          <w:marTop w:val="0"/>
          <w:marBottom w:val="0"/>
          <w:divBdr>
            <w:top w:val="none" w:sz="0" w:space="0" w:color="auto"/>
            <w:left w:val="none" w:sz="0" w:space="0" w:color="auto"/>
            <w:bottom w:val="none" w:sz="0" w:space="0" w:color="auto"/>
            <w:right w:val="none" w:sz="0" w:space="0" w:color="auto"/>
          </w:divBdr>
          <w:divsChild>
            <w:div w:id="4792252">
              <w:marLeft w:val="0"/>
              <w:marRight w:val="0"/>
              <w:marTop w:val="0"/>
              <w:marBottom w:val="0"/>
              <w:divBdr>
                <w:top w:val="none" w:sz="0" w:space="0" w:color="auto"/>
                <w:left w:val="none" w:sz="0" w:space="0" w:color="auto"/>
                <w:bottom w:val="none" w:sz="0" w:space="0" w:color="auto"/>
                <w:right w:val="none" w:sz="0" w:space="0" w:color="auto"/>
              </w:divBdr>
            </w:div>
            <w:div w:id="47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67">
      <w:marLeft w:val="0"/>
      <w:marRight w:val="0"/>
      <w:marTop w:val="0"/>
      <w:marBottom w:val="0"/>
      <w:divBdr>
        <w:top w:val="none" w:sz="0" w:space="0" w:color="auto"/>
        <w:left w:val="none" w:sz="0" w:space="0" w:color="auto"/>
        <w:bottom w:val="none" w:sz="0" w:space="0" w:color="auto"/>
        <w:right w:val="none" w:sz="0" w:space="0" w:color="auto"/>
      </w:divBdr>
      <w:divsChild>
        <w:div w:id="4792262">
          <w:marLeft w:val="0"/>
          <w:marRight w:val="0"/>
          <w:marTop w:val="0"/>
          <w:marBottom w:val="0"/>
          <w:divBdr>
            <w:top w:val="none" w:sz="0" w:space="0" w:color="auto"/>
            <w:left w:val="none" w:sz="0" w:space="0" w:color="auto"/>
            <w:bottom w:val="none" w:sz="0" w:space="0" w:color="auto"/>
            <w:right w:val="none" w:sz="0" w:space="0" w:color="auto"/>
          </w:divBdr>
          <w:divsChild>
            <w:div w:id="4792255">
              <w:marLeft w:val="0"/>
              <w:marRight w:val="0"/>
              <w:marTop w:val="0"/>
              <w:marBottom w:val="0"/>
              <w:divBdr>
                <w:top w:val="none" w:sz="0" w:space="0" w:color="auto"/>
                <w:left w:val="none" w:sz="0" w:space="0" w:color="auto"/>
                <w:bottom w:val="none" w:sz="0" w:space="0" w:color="auto"/>
                <w:right w:val="none" w:sz="0" w:space="0" w:color="auto"/>
              </w:divBdr>
            </w:div>
            <w:div w:id="47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70">
      <w:marLeft w:val="0"/>
      <w:marRight w:val="0"/>
      <w:marTop w:val="0"/>
      <w:marBottom w:val="0"/>
      <w:divBdr>
        <w:top w:val="none" w:sz="0" w:space="0" w:color="auto"/>
        <w:left w:val="none" w:sz="0" w:space="0" w:color="auto"/>
        <w:bottom w:val="none" w:sz="0" w:space="0" w:color="auto"/>
        <w:right w:val="none" w:sz="0" w:space="0" w:color="auto"/>
      </w:divBdr>
      <w:divsChild>
        <w:div w:id="4792266">
          <w:marLeft w:val="0"/>
          <w:marRight w:val="0"/>
          <w:marTop w:val="0"/>
          <w:marBottom w:val="0"/>
          <w:divBdr>
            <w:top w:val="none" w:sz="0" w:space="0" w:color="auto"/>
            <w:left w:val="none" w:sz="0" w:space="0" w:color="auto"/>
            <w:bottom w:val="none" w:sz="0" w:space="0" w:color="auto"/>
            <w:right w:val="none" w:sz="0" w:space="0" w:color="auto"/>
          </w:divBdr>
          <w:divsChild>
            <w:div w:id="4792268">
              <w:marLeft w:val="0"/>
              <w:marRight w:val="0"/>
              <w:marTop w:val="0"/>
              <w:marBottom w:val="0"/>
              <w:divBdr>
                <w:top w:val="none" w:sz="0" w:space="0" w:color="auto"/>
                <w:left w:val="none" w:sz="0" w:space="0" w:color="auto"/>
                <w:bottom w:val="none" w:sz="0" w:space="0" w:color="auto"/>
                <w:right w:val="none" w:sz="0" w:space="0" w:color="auto"/>
              </w:divBdr>
            </w:div>
            <w:div w:id="4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72">
      <w:marLeft w:val="0"/>
      <w:marRight w:val="0"/>
      <w:marTop w:val="0"/>
      <w:marBottom w:val="0"/>
      <w:divBdr>
        <w:top w:val="none" w:sz="0" w:space="0" w:color="auto"/>
        <w:left w:val="none" w:sz="0" w:space="0" w:color="auto"/>
        <w:bottom w:val="none" w:sz="0" w:space="0" w:color="auto"/>
        <w:right w:val="none" w:sz="0" w:space="0" w:color="auto"/>
      </w:divBdr>
      <w:divsChild>
        <w:div w:id="479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Pages>
  <Words>465</Words>
  <Characters>2655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11-2 Comparing Two Means</dc:title>
  <dc:subject/>
  <dc:creator>Anne Suk</dc:creator>
  <cp:keywords/>
  <dc:description/>
  <cp:lastModifiedBy>Doug Smith</cp:lastModifiedBy>
  <cp:revision>10</cp:revision>
  <cp:lastPrinted>2008-07-09T21:40:00Z</cp:lastPrinted>
  <dcterms:created xsi:type="dcterms:W3CDTF">2009-04-02T01:45:00Z</dcterms:created>
  <dcterms:modified xsi:type="dcterms:W3CDTF">2013-03-08T19:58:00Z</dcterms:modified>
</cp:coreProperties>
</file>