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24" w:rsidRPr="00FD4F39" w:rsidRDefault="00555A55" w:rsidP="006F326F">
      <w:pPr>
        <w:pStyle w:val="Title"/>
        <w:rPr>
          <w:color w:val="auto"/>
          <w:sz w:val="32"/>
          <w:szCs w:val="32"/>
        </w:rPr>
      </w:pPr>
      <w:r w:rsidRPr="00FD4F39">
        <w:rPr>
          <w:color w:val="auto"/>
          <w:sz w:val="32"/>
          <w:szCs w:val="32"/>
        </w:rPr>
        <w:t>Lesson</w:t>
      </w:r>
      <w:r w:rsidR="00FD4F39" w:rsidRPr="00FD4F39">
        <w:rPr>
          <w:color w:val="auto"/>
          <w:sz w:val="32"/>
          <w:szCs w:val="32"/>
        </w:rPr>
        <w:t>s</w:t>
      </w:r>
      <w:r w:rsidRPr="00FD4F39">
        <w:rPr>
          <w:color w:val="auto"/>
          <w:sz w:val="32"/>
          <w:szCs w:val="32"/>
        </w:rPr>
        <w:t xml:space="preserve"> </w:t>
      </w:r>
      <w:r w:rsidR="00FD4F39" w:rsidRPr="00FD4F39">
        <w:rPr>
          <w:color w:val="auto"/>
          <w:sz w:val="32"/>
          <w:szCs w:val="32"/>
        </w:rPr>
        <w:t>10-3 and 10-4</w:t>
      </w:r>
      <w:r w:rsidR="00456B21">
        <w:rPr>
          <w:color w:val="auto"/>
          <w:sz w:val="36"/>
          <w:szCs w:val="36"/>
        </w:rPr>
        <w:t xml:space="preserve"> </w:t>
      </w:r>
      <w:r w:rsidR="00FD4F39" w:rsidRPr="00FD4F39">
        <w:rPr>
          <w:color w:val="auto"/>
          <w:sz w:val="32"/>
          <w:szCs w:val="32"/>
        </w:rPr>
        <w:t>Using Significance Tests and Inference as a Decision</w:t>
      </w:r>
    </w:p>
    <w:p w:rsidR="007C6F0A" w:rsidRPr="007C6F0A" w:rsidRDefault="00B47830" w:rsidP="005B2DC1">
      <w:pPr>
        <w:pStyle w:val="Heading1"/>
      </w:pPr>
      <w:r>
        <w:t>Type I and Type II Errors</w:t>
      </w:r>
    </w:p>
    <w:tbl>
      <w:tblPr>
        <w:tblStyle w:val="TableGrid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216" w:type="dxa"/>
        </w:tblCellMar>
        <w:tblLook w:val="01E0"/>
      </w:tblPr>
      <w:tblGrid>
        <w:gridCol w:w="2014"/>
        <w:gridCol w:w="2511"/>
        <w:gridCol w:w="3097"/>
        <w:gridCol w:w="2991"/>
      </w:tblGrid>
      <w:tr w:rsidR="00B47830" w:rsidRPr="00B47830" w:rsidTr="00B47830">
        <w:trPr>
          <w:trHeight w:val="864"/>
        </w:trPr>
        <w:tc>
          <w:tcPr>
            <w:tcW w:w="2014" w:type="dxa"/>
          </w:tcPr>
          <w:p w:rsidR="00B47830" w:rsidRPr="00B47830" w:rsidRDefault="00B47830" w:rsidP="00E22A8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511" w:type="dxa"/>
          </w:tcPr>
          <w:p w:rsidR="00B47830" w:rsidRPr="00B47830" w:rsidRDefault="00B47830" w:rsidP="00E22A8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088" w:type="dxa"/>
            <w:gridSpan w:val="2"/>
            <w:vAlign w:val="center"/>
          </w:tcPr>
          <w:p w:rsidR="00B47830" w:rsidRPr="00B47830" w:rsidRDefault="00B47830" w:rsidP="00E22A8D">
            <w:pPr>
              <w:jc w:val="center"/>
              <w:rPr>
                <w:rFonts w:asciiTheme="minorHAnsi" w:hAnsiTheme="minorHAnsi"/>
                <w:i/>
                <w:sz w:val="32"/>
                <w:szCs w:val="32"/>
              </w:rPr>
            </w:pPr>
            <w:r w:rsidRPr="00B47830">
              <w:rPr>
                <w:rFonts w:asciiTheme="minorHAnsi" w:hAnsiTheme="minorHAnsi"/>
                <w:i/>
                <w:sz w:val="32"/>
                <w:szCs w:val="32"/>
              </w:rPr>
              <w:t>Truth about the population</w:t>
            </w:r>
          </w:p>
        </w:tc>
      </w:tr>
      <w:tr w:rsidR="00B47830" w:rsidRPr="00B47830" w:rsidTr="00B47830">
        <w:trPr>
          <w:trHeight w:val="576"/>
        </w:trPr>
        <w:tc>
          <w:tcPr>
            <w:tcW w:w="2014" w:type="dxa"/>
          </w:tcPr>
          <w:p w:rsidR="00B47830" w:rsidRPr="00B47830" w:rsidRDefault="00B47830" w:rsidP="00E22A8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511" w:type="dxa"/>
          </w:tcPr>
          <w:p w:rsidR="00B47830" w:rsidRPr="00B47830" w:rsidRDefault="00B47830" w:rsidP="00E22A8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097" w:type="dxa"/>
            <w:tcBorders>
              <w:bottom w:val="single" w:sz="18" w:space="0" w:color="auto"/>
            </w:tcBorders>
            <w:vAlign w:val="center"/>
          </w:tcPr>
          <w:p w:rsidR="00B47830" w:rsidRPr="00B47830" w:rsidRDefault="00B47830" w:rsidP="00E22A8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47830">
              <w:rPr>
                <w:rFonts w:asciiTheme="minorHAnsi" w:hAnsiTheme="minorHAnsi"/>
                <w:sz w:val="32"/>
                <w:szCs w:val="32"/>
              </w:rPr>
              <w:t>H</w:t>
            </w:r>
            <w:r w:rsidRPr="00B47830">
              <w:rPr>
                <w:rFonts w:asciiTheme="minorHAnsi" w:hAnsiTheme="minorHAnsi"/>
                <w:sz w:val="32"/>
                <w:szCs w:val="32"/>
                <w:vertAlign w:val="subscript"/>
              </w:rPr>
              <w:t>o</w:t>
            </w:r>
            <w:r w:rsidRPr="00B47830">
              <w:rPr>
                <w:rFonts w:asciiTheme="minorHAnsi" w:hAnsiTheme="minorHAnsi"/>
                <w:sz w:val="32"/>
                <w:szCs w:val="32"/>
              </w:rPr>
              <w:t xml:space="preserve"> True</w:t>
            </w:r>
          </w:p>
        </w:tc>
        <w:tc>
          <w:tcPr>
            <w:tcW w:w="2991" w:type="dxa"/>
            <w:tcBorders>
              <w:bottom w:val="single" w:sz="18" w:space="0" w:color="auto"/>
            </w:tcBorders>
            <w:vAlign w:val="center"/>
          </w:tcPr>
          <w:p w:rsidR="00B47830" w:rsidRPr="00B47830" w:rsidRDefault="00B47830" w:rsidP="00E22A8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47830">
              <w:rPr>
                <w:rFonts w:asciiTheme="minorHAnsi" w:hAnsiTheme="minorHAnsi"/>
                <w:sz w:val="32"/>
                <w:szCs w:val="32"/>
              </w:rPr>
              <w:t>H</w:t>
            </w:r>
            <w:r w:rsidRPr="00B47830">
              <w:rPr>
                <w:rFonts w:asciiTheme="minorHAnsi" w:hAnsiTheme="minorHAnsi"/>
                <w:sz w:val="32"/>
                <w:szCs w:val="32"/>
                <w:vertAlign w:val="subscript"/>
              </w:rPr>
              <w:t>o</w:t>
            </w:r>
            <w:r w:rsidRPr="00B47830">
              <w:rPr>
                <w:rFonts w:asciiTheme="minorHAnsi" w:hAnsiTheme="minorHAnsi"/>
                <w:sz w:val="32"/>
                <w:szCs w:val="32"/>
              </w:rPr>
              <w:t xml:space="preserve"> False</w:t>
            </w:r>
          </w:p>
        </w:tc>
      </w:tr>
      <w:tr w:rsidR="00B47830" w:rsidRPr="00B47830" w:rsidTr="00BF5DFA">
        <w:trPr>
          <w:trHeight w:val="864"/>
        </w:trPr>
        <w:tc>
          <w:tcPr>
            <w:tcW w:w="2014" w:type="dxa"/>
            <w:vMerge w:val="restart"/>
            <w:vAlign w:val="center"/>
          </w:tcPr>
          <w:p w:rsidR="00B47830" w:rsidRPr="00B47830" w:rsidRDefault="00B47830" w:rsidP="00E22A8D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 w:rsidRPr="00B47830">
              <w:rPr>
                <w:rFonts w:asciiTheme="minorHAnsi" w:hAnsiTheme="minorHAnsi"/>
                <w:i/>
                <w:sz w:val="32"/>
                <w:szCs w:val="32"/>
              </w:rPr>
              <w:t>Decision based on our sample</w:t>
            </w:r>
          </w:p>
        </w:tc>
        <w:tc>
          <w:tcPr>
            <w:tcW w:w="2511" w:type="dxa"/>
            <w:tcBorders>
              <w:right w:val="single" w:sz="18" w:space="0" w:color="auto"/>
            </w:tcBorders>
            <w:vAlign w:val="center"/>
          </w:tcPr>
          <w:p w:rsidR="00B47830" w:rsidRPr="00B47830" w:rsidRDefault="00B47830" w:rsidP="00E22A8D">
            <w:pPr>
              <w:jc w:val="right"/>
              <w:rPr>
                <w:rFonts w:asciiTheme="minorHAnsi" w:hAnsiTheme="minorHAnsi"/>
                <w:sz w:val="32"/>
                <w:szCs w:val="32"/>
              </w:rPr>
            </w:pPr>
            <w:r w:rsidRPr="00B47830">
              <w:rPr>
                <w:rFonts w:asciiTheme="minorHAnsi" w:hAnsiTheme="minorHAnsi"/>
                <w:sz w:val="32"/>
                <w:szCs w:val="32"/>
              </w:rPr>
              <w:t>Reject H</w:t>
            </w:r>
            <w:r w:rsidRPr="00B47830">
              <w:rPr>
                <w:rFonts w:asciiTheme="minorHAnsi" w:hAnsiTheme="minorHAnsi"/>
                <w:sz w:val="32"/>
                <w:szCs w:val="32"/>
                <w:vertAlign w:val="subscript"/>
              </w:rPr>
              <w:t>o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830" w:rsidRPr="00B47830" w:rsidRDefault="00B47830" w:rsidP="00E22A8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47830">
              <w:rPr>
                <w:rFonts w:asciiTheme="minorHAnsi" w:hAnsiTheme="minorHAnsi"/>
                <w:sz w:val="32"/>
                <w:szCs w:val="32"/>
              </w:rPr>
              <w:t>Type I Error</w:t>
            </w:r>
          </w:p>
        </w:tc>
        <w:tc>
          <w:tcPr>
            <w:tcW w:w="2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830" w:rsidRPr="00B47830" w:rsidRDefault="00B47830" w:rsidP="00E22A8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47830">
              <w:rPr>
                <w:rFonts w:asciiTheme="minorHAnsi" w:hAnsiTheme="minorHAnsi"/>
                <w:sz w:val="32"/>
                <w:szCs w:val="32"/>
              </w:rPr>
              <w:t>Correct Decision</w:t>
            </w:r>
          </w:p>
        </w:tc>
      </w:tr>
      <w:tr w:rsidR="00B47830" w:rsidRPr="00B47830" w:rsidTr="00BF5DFA">
        <w:trPr>
          <w:trHeight w:val="864"/>
        </w:trPr>
        <w:tc>
          <w:tcPr>
            <w:tcW w:w="2014" w:type="dxa"/>
            <w:vMerge/>
          </w:tcPr>
          <w:p w:rsidR="00B47830" w:rsidRPr="00B47830" w:rsidRDefault="00B47830" w:rsidP="00E22A8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18" w:space="0" w:color="auto"/>
            </w:tcBorders>
            <w:vAlign w:val="center"/>
          </w:tcPr>
          <w:p w:rsidR="00B47830" w:rsidRPr="00B47830" w:rsidRDefault="00B47830" w:rsidP="00E22A8D">
            <w:pPr>
              <w:jc w:val="right"/>
              <w:rPr>
                <w:rFonts w:asciiTheme="minorHAnsi" w:hAnsiTheme="minorHAnsi"/>
                <w:sz w:val="32"/>
                <w:szCs w:val="32"/>
              </w:rPr>
            </w:pPr>
            <w:r w:rsidRPr="00B47830">
              <w:rPr>
                <w:rFonts w:asciiTheme="minorHAnsi" w:hAnsiTheme="minorHAnsi"/>
                <w:sz w:val="32"/>
                <w:szCs w:val="32"/>
              </w:rPr>
              <w:t>“Accept”  H</w:t>
            </w:r>
            <w:r w:rsidRPr="00B47830">
              <w:rPr>
                <w:rFonts w:asciiTheme="minorHAnsi" w:hAnsiTheme="minorHAnsi"/>
                <w:sz w:val="32"/>
                <w:szCs w:val="32"/>
                <w:vertAlign w:val="subscript"/>
              </w:rPr>
              <w:t>o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830" w:rsidRPr="00B47830" w:rsidRDefault="00B47830" w:rsidP="00E22A8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47830">
              <w:rPr>
                <w:rFonts w:asciiTheme="minorHAnsi" w:hAnsiTheme="minorHAnsi"/>
                <w:sz w:val="32"/>
                <w:szCs w:val="32"/>
              </w:rPr>
              <w:t>Correct Decision</w:t>
            </w:r>
          </w:p>
        </w:tc>
        <w:tc>
          <w:tcPr>
            <w:tcW w:w="2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830" w:rsidRPr="00B47830" w:rsidRDefault="00B47830" w:rsidP="00E22A8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47830">
              <w:rPr>
                <w:rFonts w:asciiTheme="minorHAnsi" w:hAnsiTheme="minorHAnsi"/>
                <w:sz w:val="32"/>
                <w:szCs w:val="32"/>
              </w:rPr>
              <w:t>Type II Error</w:t>
            </w:r>
          </w:p>
        </w:tc>
      </w:tr>
    </w:tbl>
    <w:p w:rsidR="00B47830" w:rsidRPr="00B47830" w:rsidRDefault="00B47830" w:rsidP="00B47830">
      <w:pPr>
        <w:pStyle w:val="Heading1"/>
        <w:rPr>
          <w:rFonts w:asciiTheme="minorHAnsi" w:hAnsiTheme="minorHAnsi"/>
        </w:rPr>
      </w:pPr>
      <w:r w:rsidRPr="00B47830">
        <w:rPr>
          <w:rFonts w:ascii="Cambria" w:eastAsia="Times New Roman" w:hAnsi="Cambria" w:cs="Times New Roman"/>
          <w:color w:val="365F91"/>
        </w:rPr>
        <w:t>Error probabilities</w:t>
      </w:r>
      <w:r w:rsidRPr="00B47830">
        <w:rPr>
          <w:rFonts w:asciiTheme="minorHAnsi" w:hAnsiTheme="minorHAnsi"/>
        </w:rPr>
        <w:tab/>
      </w:r>
    </w:p>
    <w:p w:rsidR="00B47830" w:rsidRPr="00B47830" w:rsidRDefault="00B47830" w:rsidP="00B47830">
      <w:pPr>
        <w:rPr>
          <w:sz w:val="24"/>
          <w:szCs w:val="24"/>
        </w:rPr>
      </w:pPr>
      <w:r w:rsidRPr="00B47830">
        <w:rPr>
          <w:sz w:val="24"/>
          <w:szCs w:val="24"/>
        </w:rPr>
        <w:t xml:space="preserve">The significance level </w:t>
      </w:r>
      <w:r w:rsidRPr="00B47830">
        <w:rPr>
          <w:sz w:val="24"/>
          <w:szCs w:val="24"/>
        </w:rPr>
        <w:sym w:font="Symbol" w:char="F061"/>
      </w:r>
      <w:r w:rsidRPr="00B47830">
        <w:rPr>
          <w:sz w:val="24"/>
          <w:szCs w:val="24"/>
        </w:rPr>
        <w:t xml:space="preserve"> of any fixed level test is the </w:t>
      </w:r>
      <w:r w:rsidRPr="00B47830">
        <w:rPr>
          <w:b/>
          <w:sz w:val="24"/>
          <w:szCs w:val="24"/>
        </w:rPr>
        <w:t>probability of a Type I</w:t>
      </w:r>
      <w:r w:rsidRPr="00B47830">
        <w:rPr>
          <w:sz w:val="24"/>
          <w:szCs w:val="24"/>
        </w:rPr>
        <w:t xml:space="preserve"> error.  That is, </w:t>
      </w:r>
      <w:r w:rsidRPr="00B47830">
        <w:rPr>
          <w:sz w:val="24"/>
          <w:szCs w:val="24"/>
        </w:rPr>
        <w:sym w:font="Symbol" w:char="F061"/>
      </w:r>
      <w:r w:rsidRPr="00B47830">
        <w:rPr>
          <w:sz w:val="24"/>
          <w:szCs w:val="24"/>
        </w:rPr>
        <w:t xml:space="preserve"> is the probability that the test will reject the null hypothesis H</w:t>
      </w:r>
      <w:r w:rsidRPr="00B47830">
        <w:rPr>
          <w:sz w:val="24"/>
          <w:szCs w:val="24"/>
          <w:vertAlign w:val="subscript"/>
        </w:rPr>
        <w:t>o</w:t>
      </w:r>
      <w:r w:rsidRPr="00B47830">
        <w:rPr>
          <w:sz w:val="24"/>
          <w:szCs w:val="24"/>
        </w:rPr>
        <w:t xml:space="preserve"> when, in fact, H</w:t>
      </w:r>
      <w:r w:rsidRPr="00B47830">
        <w:rPr>
          <w:sz w:val="24"/>
          <w:szCs w:val="24"/>
          <w:vertAlign w:val="subscript"/>
        </w:rPr>
        <w:t>o</w:t>
      </w:r>
      <w:r>
        <w:rPr>
          <w:sz w:val="24"/>
          <w:szCs w:val="24"/>
        </w:rPr>
        <w:t xml:space="preserve"> is true.</w:t>
      </w:r>
    </w:p>
    <w:p w:rsidR="0068566F" w:rsidRPr="00F07E20" w:rsidRDefault="00B47830" w:rsidP="00F07E20">
      <w:r w:rsidRPr="00F07E20">
        <w:t xml:space="preserve">In many textbooks, the </w:t>
      </w:r>
      <w:r w:rsidRPr="00F07E20">
        <w:rPr>
          <w:b/>
        </w:rPr>
        <w:t xml:space="preserve">probability of a Type II error </w:t>
      </w:r>
      <w:r w:rsidRPr="00F07E20">
        <w:t xml:space="preserve">is denoted </w:t>
      </w:r>
      <w:proofErr w:type="gramStart"/>
      <w:r w:rsidRPr="00F07E20">
        <w:t xml:space="preserve">by </w:t>
      </w:r>
      <w:proofErr w:type="gramEnd"/>
      <w:r w:rsidRPr="00F07E20">
        <w:sym w:font="Symbol" w:char="F062"/>
      </w:r>
      <w:r w:rsidRPr="00F07E20">
        <w:t xml:space="preserve">.  The </w:t>
      </w:r>
      <w:r w:rsidRPr="00F07E20">
        <w:rPr>
          <w:b/>
        </w:rPr>
        <w:t>power</w:t>
      </w:r>
      <w:r w:rsidRPr="00F07E20">
        <w:t xml:space="preserve"> of a test against any alternative is 1 minus the probability of a Type II error or 1 - </w:t>
      </w:r>
      <w:r w:rsidRPr="00F07E20">
        <w:sym w:font="Symbol" w:char="F062"/>
      </w:r>
      <w:r w:rsidRPr="00F07E20">
        <w:t xml:space="preserve">.  </w:t>
      </w:r>
      <w:r w:rsidR="0012432F" w:rsidRPr="00F07E20">
        <w:t xml:space="preserve">In the significance test setting, it is more common to report the probability that a test </w:t>
      </w:r>
      <w:r w:rsidR="0012432F" w:rsidRPr="00F07E20">
        <w:rPr>
          <w:i/>
          <w:iCs/>
        </w:rPr>
        <w:t>does</w:t>
      </w:r>
      <w:r w:rsidR="0012432F" w:rsidRPr="00F07E20">
        <w:t xml:space="preserve"> reject </w:t>
      </w:r>
      <w:r w:rsidR="0012432F" w:rsidRPr="00F07E20">
        <w:rPr>
          <w:i/>
          <w:iCs/>
        </w:rPr>
        <w:t>H</w:t>
      </w:r>
      <w:r w:rsidR="0012432F" w:rsidRPr="00F07E20">
        <w:rPr>
          <w:vertAlign w:val="subscript"/>
        </w:rPr>
        <w:t>0</w:t>
      </w:r>
      <w:r w:rsidR="0012432F" w:rsidRPr="00F07E20">
        <w:t xml:space="preserve"> when an alternative is true. This probability is called the </w:t>
      </w:r>
      <w:r w:rsidR="0012432F" w:rsidRPr="00F07E20">
        <w:rPr>
          <w:b/>
          <w:bCs/>
          <w:i/>
          <w:iCs/>
        </w:rPr>
        <w:t>power</w:t>
      </w:r>
      <w:r w:rsidR="0012432F" w:rsidRPr="00F07E20">
        <w:t xml:space="preserve"> of the test against that specific alternative. The higher this probability is, the more sensitive the test is.</w:t>
      </w:r>
      <w:r w:rsidR="00F07E20" w:rsidRPr="00F07E20">
        <w:t xml:space="preserve">  Power calculations are important in planning studies. Using a significance test with low power makes it unlikely that you will find a significant effect even if the truth is far from the null hypothesis. A null hypothesis that is in fact false can become widely believed if repeated attempts to find evidence against it fail because of low power. </w:t>
      </w:r>
      <w:r w:rsidR="00F07E20">
        <w:t>The</w:t>
      </w:r>
      <w:r w:rsidR="00F07E20" w:rsidRPr="00F07E20">
        <w:t xml:space="preserve"> best advice for maximizing the power of a test is to choose as high </w:t>
      </w:r>
      <w:proofErr w:type="gramStart"/>
      <w:r w:rsidR="00F07E20" w:rsidRPr="00F07E20">
        <w:t>an</w:t>
      </w:r>
      <w:proofErr w:type="gramEnd"/>
      <w:r w:rsidR="00F07E20" w:rsidRPr="00F07E20">
        <w:t xml:space="preserve"> α level (Type I error probability) as you are willing to risk </w:t>
      </w:r>
      <w:r w:rsidR="00F07E20" w:rsidRPr="00F07E20">
        <w:rPr>
          <w:i/>
          <w:iCs/>
        </w:rPr>
        <w:t>and</w:t>
      </w:r>
      <w:r w:rsidR="00F07E20" w:rsidRPr="00F07E20">
        <w:t xml:space="preserve"> as large a sample size as you can afford.</w:t>
      </w:r>
    </w:p>
    <w:p w:rsidR="0068566F" w:rsidRDefault="007C0FF6" w:rsidP="0068566F">
      <w:pPr>
        <w:pStyle w:val="Heading1"/>
        <w:rPr>
          <w:rFonts w:ascii="Cambria" w:eastAsia="Times New Roman" w:hAnsi="Cambria" w:cs="Times New Roman"/>
          <w:color w:val="365F91"/>
        </w:rPr>
      </w:pPr>
      <w:r>
        <w:rPr>
          <w:rFonts w:ascii="Cambria" w:eastAsia="Times New Roman" w:hAnsi="Cambria" w:cs="Times New Roman"/>
          <w:color w:val="365F91"/>
        </w:rPr>
        <w:t>Making decisions</w:t>
      </w:r>
    </w:p>
    <w:p w:rsidR="007C6F0A" w:rsidRPr="007C0FF6" w:rsidRDefault="003B50B7" w:rsidP="007C0FF6">
      <w:pPr>
        <w:rPr>
          <w:sz w:val="24"/>
          <w:szCs w:val="24"/>
        </w:rPr>
      </w:pPr>
      <w:r>
        <w:rPr>
          <w:sz w:val="24"/>
          <w:szCs w:val="24"/>
        </w:rPr>
        <w:t>P-values are mo</w:t>
      </w:r>
      <w:r w:rsidR="007C0FF6">
        <w:rPr>
          <w:sz w:val="24"/>
          <w:szCs w:val="24"/>
        </w:rPr>
        <w:t xml:space="preserve">re informative than the reject-or-not result of a fixed alpha level.  Beware of placing too much emphasis on the traditional values of alpha such as </w:t>
      </w:r>
      <w:r w:rsidR="007C0FF6">
        <w:rPr>
          <w:rFonts w:ascii="Ti83Pluspc" w:hAnsi="Ti83Pluspc"/>
          <w:sz w:val="24"/>
          <w:szCs w:val="24"/>
        </w:rPr>
        <w:t>»</w:t>
      </w:r>
      <w:r w:rsidR="007C0FF6">
        <w:rPr>
          <w:sz w:val="24"/>
          <w:szCs w:val="24"/>
        </w:rPr>
        <w:t xml:space="preserve"> = .05.</w:t>
      </w:r>
      <w:r w:rsidR="0012432F">
        <w:rPr>
          <w:sz w:val="24"/>
          <w:szCs w:val="24"/>
        </w:rPr>
        <w:t xml:space="preserve">  </w:t>
      </w:r>
      <w:r w:rsidR="007C6F0A">
        <w:rPr>
          <w:sz w:val="24"/>
          <w:szCs w:val="24"/>
        </w:rPr>
        <w:t xml:space="preserve">Plot the data to display the effect you are seeking and use confidence intervals to estimate the actual values of the parameters.  </w:t>
      </w:r>
    </w:p>
    <w:p w:rsidR="00400AFF" w:rsidRDefault="005B2DC1" w:rsidP="005B2DC1">
      <w:pPr>
        <w:pStyle w:val="Heading1"/>
        <w:rPr>
          <w:rFonts w:ascii="Cambria" w:eastAsia="Times New Roman" w:hAnsi="Cambria" w:cs="Times New Roman"/>
          <w:color w:val="365F91"/>
        </w:rPr>
      </w:pPr>
      <w:r w:rsidRPr="005B2DC1">
        <w:rPr>
          <w:rFonts w:ascii="Cambria" w:eastAsia="Times New Roman" w:hAnsi="Cambria" w:cs="Times New Roman"/>
          <w:color w:val="365F91"/>
        </w:rPr>
        <w:t>What c</w:t>
      </w:r>
      <w:r>
        <w:rPr>
          <w:rFonts w:ascii="Cambria" w:eastAsia="Times New Roman" w:hAnsi="Cambria" w:cs="Times New Roman"/>
          <w:color w:val="365F91"/>
        </w:rPr>
        <w:t>an go w</w:t>
      </w:r>
      <w:r w:rsidRPr="005B2DC1">
        <w:rPr>
          <w:rFonts w:ascii="Cambria" w:eastAsia="Times New Roman" w:hAnsi="Cambria" w:cs="Times New Roman"/>
          <w:color w:val="365F91"/>
        </w:rPr>
        <w:t>rong?</w:t>
      </w:r>
    </w:p>
    <w:p w:rsidR="005B2DC1" w:rsidRDefault="005B2DC1" w:rsidP="005B2DC1">
      <w:pPr>
        <w:rPr>
          <w:b/>
          <w:bCs/>
        </w:rPr>
      </w:pPr>
      <w:r>
        <w:t xml:space="preserve">Plot your data and examine them carefully. Are there outliers or other deviations from a consistent pattern? A few outlying observations can produce highly significant results if you blindly apply common significance tests. Outliers can also destroy the significance of otherwise-convincing data. </w:t>
      </w:r>
      <w:r>
        <w:rPr>
          <w:b/>
          <w:bCs/>
        </w:rPr>
        <w:t>The foolish user of statistics who feeds the data to a calculator or computer without exploratory analysis will often be embarrassed.</w:t>
      </w:r>
    </w:p>
    <w:p w:rsidR="005B2DC1" w:rsidRPr="005B2DC1" w:rsidRDefault="005B2DC1" w:rsidP="005B2DC1">
      <w:r w:rsidRPr="005B2DC1">
        <w:rPr>
          <w:i/>
          <w:iCs/>
        </w:rPr>
        <w:t>P-</w:t>
      </w:r>
      <w:r w:rsidRPr="005B2DC1">
        <w:t xml:space="preserve">values are more informative than the reject-or-not result of a fixed level α test. Beware of placing too much weight on traditional values of α, such as α = 0.05.  On the other hand, lack of significance does not imply that </w:t>
      </w:r>
      <w:r w:rsidRPr="005B2DC1">
        <w:rPr>
          <w:i/>
          <w:iCs/>
        </w:rPr>
        <w:t>H</w:t>
      </w:r>
      <w:r w:rsidRPr="005B2DC1">
        <w:rPr>
          <w:vertAlign w:val="subscript"/>
        </w:rPr>
        <w:t>0</w:t>
      </w:r>
      <w:r w:rsidRPr="005B2DC1">
        <w:t xml:space="preserve"> is true, especially when the test is based on just a few observations.</w:t>
      </w:r>
    </w:p>
    <w:sectPr w:rsidR="005B2DC1" w:rsidRPr="005B2DC1" w:rsidSect="000510A9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83Pluspc">
    <w:panose1 w:val="020B0609020003040203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8D8"/>
    <w:multiLevelType w:val="hybridMultilevel"/>
    <w:tmpl w:val="0E564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837D1"/>
    <w:multiLevelType w:val="hybridMultilevel"/>
    <w:tmpl w:val="0FAE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05C94"/>
    <w:multiLevelType w:val="hybridMultilevel"/>
    <w:tmpl w:val="D370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B47F4B"/>
    <w:multiLevelType w:val="hybridMultilevel"/>
    <w:tmpl w:val="83BC2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AB6B90"/>
    <w:multiLevelType w:val="hybridMultilevel"/>
    <w:tmpl w:val="9D9E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871"/>
    <w:multiLevelType w:val="hybridMultilevel"/>
    <w:tmpl w:val="1298BF00"/>
    <w:lvl w:ilvl="0" w:tplc="14BA6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F51A1"/>
    <w:multiLevelType w:val="hybridMultilevel"/>
    <w:tmpl w:val="C4209E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705ECF"/>
    <w:multiLevelType w:val="hybridMultilevel"/>
    <w:tmpl w:val="C7EE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26F"/>
    <w:rsid w:val="000510A9"/>
    <w:rsid w:val="00055C1E"/>
    <w:rsid w:val="00096831"/>
    <w:rsid w:val="00111A89"/>
    <w:rsid w:val="0012432F"/>
    <w:rsid w:val="001D4B46"/>
    <w:rsid w:val="00241CB9"/>
    <w:rsid w:val="002667D0"/>
    <w:rsid w:val="002908D4"/>
    <w:rsid w:val="0030216E"/>
    <w:rsid w:val="00360CB9"/>
    <w:rsid w:val="003B50B7"/>
    <w:rsid w:val="00400AFF"/>
    <w:rsid w:val="00456B21"/>
    <w:rsid w:val="00462854"/>
    <w:rsid w:val="00474B3E"/>
    <w:rsid w:val="004A6E38"/>
    <w:rsid w:val="004C0527"/>
    <w:rsid w:val="004E77B9"/>
    <w:rsid w:val="00555A55"/>
    <w:rsid w:val="005A1B59"/>
    <w:rsid w:val="005B2DC1"/>
    <w:rsid w:val="00614857"/>
    <w:rsid w:val="0063407B"/>
    <w:rsid w:val="0068566F"/>
    <w:rsid w:val="006E2F3A"/>
    <w:rsid w:val="006F326F"/>
    <w:rsid w:val="007A380C"/>
    <w:rsid w:val="007C0FF6"/>
    <w:rsid w:val="007C6F0A"/>
    <w:rsid w:val="007F4A60"/>
    <w:rsid w:val="00880824"/>
    <w:rsid w:val="008A0EBF"/>
    <w:rsid w:val="00977DB3"/>
    <w:rsid w:val="00994A9B"/>
    <w:rsid w:val="009D5FCD"/>
    <w:rsid w:val="00A62876"/>
    <w:rsid w:val="00A834D2"/>
    <w:rsid w:val="00AC70B5"/>
    <w:rsid w:val="00B46BD9"/>
    <w:rsid w:val="00B47830"/>
    <w:rsid w:val="00BD7585"/>
    <w:rsid w:val="00BF5DFA"/>
    <w:rsid w:val="00C654D6"/>
    <w:rsid w:val="00CE6895"/>
    <w:rsid w:val="00DB4048"/>
    <w:rsid w:val="00DF5AF7"/>
    <w:rsid w:val="00DF6907"/>
    <w:rsid w:val="00E27095"/>
    <w:rsid w:val="00E72C3A"/>
    <w:rsid w:val="00ED5FBF"/>
    <w:rsid w:val="00F07E20"/>
    <w:rsid w:val="00FD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24"/>
  </w:style>
  <w:style w:type="paragraph" w:styleId="Heading1">
    <w:name w:val="heading 1"/>
    <w:basedOn w:val="Normal"/>
    <w:next w:val="Normal"/>
    <w:link w:val="Heading1Char"/>
    <w:uiPriority w:val="9"/>
    <w:qFormat/>
    <w:rsid w:val="006F3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3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F3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3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F4A60"/>
    <w:pPr>
      <w:ind w:left="720"/>
      <w:contextualSpacing/>
    </w:pPr>
  </w:style>
  <w:style w:type="paragraph" w:styleId="NoSpacing">
    <w:name w:val="No Spacing"/>
    <w:uiPriority w:val="1"/>
    <w:qFormat/>
    <w:rsid w:val="007F4A60"/>
    <w:pPr>
      <w:spacing w:after="0" w:line="240" w:lineRule="auto"/>
    </w:pPr>
  </w:style>
  <w:style w:type="table" w:styleId="TableGrid">
    <w:name w:val="Table Grid"/>
    <w:basedOn w:val="TableNormal"/>
    <w:rsid w:val="00B47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Suk</dc:creator>
  <cp:lastModifiedBy>Anne Suk</cp:lastModifiedBy>
  <cp:revision>9</cp:revision>
  <cp:lastPrinted>2009-03-08T21:05:00Z</cp:lastPrinted>
  <dcterms:created xsi:type="dcterms:W3CDTF">2009-03-08T21:07:00Z</dcterms:created>
  <dcterms:modified xsi:type="dcterms:W3CDTF">2010-03-07T21:09:00Z</dcterms:modified>
</cp:coreProperties>
</file>